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0DF3" w14:textId="77777777" w:rsidR="00383A48" w:rsidRDefault="00A932B7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15C653A" wp14:editId="70A43709">
            <wp:simplePos x="0" y="0"/>
            <wp:positionH relativeFrom="page">
              <wp:align>left</wp:align>
            </wp:positionH>
            <wp:positionV relativeFrom="paragraph">
              <wp:posOffset>-912495</wp:posOffset>
            </wp:positionV>
            <wp:extent cx="7530465" cy="247650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046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8F2894" w14:textId="3F19B86C" w:rsidR="00383A48" w:rsidRDefault="006C6863" w:rsidP="006C6863">
      <w:pPr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央行超预期降准提振市场</w:t>
      </w:r>
      <w:proofErr w:type="gramEnd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信心</w:t>
      </w:r>
      <w:r w:rsidRPr="00A10505">
        <w:rPr>
          <w:rFonts w:ascii="黑体" w:eastAsia="黑体" w:hAnsi="黑体" w:cs="黑体" w:hint="eastAsia"/>
          <w:bCs/>
          <w:color w:val="000000"/>
          <w:sz w:val="32"/>
          <w:szCs w:val="32"/>
        </w:rPr>
        <w:t>，</w:t>
      </w:r>
      <w:r w:rsidRPr="006C6863">
        <w:rPr>
          <w:rFonts w:ascii="黑体" w:eastAsia="黑体" w:hAnsi="黑体" w:cs="黑体" w:hint="eastAsia"/>
          <w:bCs/>
          <w:color w:val="000000"/>
          <w:sz w:val="32"/>
          <w:szCs w:val="32"/>
        </w:rPr>
        <w:t>权益市场呈V型走势</w:t>
      </w:r>
    </w:p>
    <w:p w14:paraId="47146EA3" w14:textId="612E8B2F" w:rsidR="00383A48" w:rsidRDefault="00A932B7">
      <w:pPr>
        <w:spacing w:line="360" w:lineRule="auto"/>
        <w:ind w:firstLineChars="200" w:firstLine="560"/>
        <w:jc w:val="right"/>
        <w:rPr>
          <w:rFonts w:ascii="黑体" w:eastAsia="黑体" w:hAnsi="黑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——</w:t>
      </w:r>
      <w:proofErr w:type="gramStart"/>
      <w:r>
        <w:rPr>
          <w:rFonts w:ascii="楷体" w:eastAsia="楷体" w:hAnsi="楷体" w:hint="eastAsia"/>
          <w:sz w:val="28"/>
          <w:szCs w:val="28"/>
        </w:rPr>
        <w:t>鑫</w:t>
      </w:r>
      <w:proofErr w:type="gramEnd"/>
      <w:r>
        <w:rPr>
          <w:rFonts w:ascii="楷体" w:eastAsia="楷体" w:hAnsi="楷体" w:hint="eastAsia"/>
          <w:sz w:val="28"/>
          <w:szCs w:val="28"/>
        </w:rPr>
        <w:t>元周观点（2</w:t>
      </w:r>
      <w:r>
        <w:rPr>
          <w:rFonts w:ascii="楷体" w:eastAsia="楷体" w:hAnsi="楷体"/>
          <w:sz w:val="28"/>
          <w:szCs w:val="28"/>
        </w:rPr>
        <w:t>02</w:t>
      </w:r>
      <w:r w:rsidR="00CD7F56">
        <w:rPr>
          <w:rFonts w:ascii="楷体" w:eastAsia="楷体" w:hAnsi="楷体"/>
          <w:sz w:val="28"/>
          <w:szCs w:val="28"/>
        </w:rPr>
        <w:t>4</w:t>
      </w:r>
      <w:r>
        <w:rPr>
          <w:rFonts w:ascii="楷体" w:eastAsia="楷体" w:hAnsi="楷体"/>
          <w:sz w:val="28"/>
          <w:szCs w:val="28"/>
        </w:rPr>
        <w:t>.</w:t>
      </w:r>
      <w:r w:rsidR="00B65573">
        <w:rPr>
          <w:rFonts w:ascii="楷体" w:eastAsia="楷体" w:hAnsi="楷体"/>
          <w:sz w:val="28"/>
          <w:szCs w:val="28"/>
        </w:rPr>
        <w:t>1</w:t>
      </w:r>
      <w:r>
        <w:rPr>
          <w:rFonts w:ascii="楷体" w:eastAsia="楷体" w:hAnsi="楷体"/>
          <w:sz w:val="28"/>
          <w:szCs w:val="28"/>
        </w:rPr>
        <w:t>.</w:t>
      </w:r>
      <w:r w:rsidR="00E86CA0">
        <w:rPr>
          <w:rFonts w:ascii="楷体" w:eastAsia="楷体" w:hAnsi="楷体"/>
          <w:sz w:val="28"/>
          <w:szCs w:val="28"/>
        </w:rPr>
        <w:t>22</w:t>
      </w:r>
      <w:r>
        <w:rPr>
          <w:rFonts w:ascii="楷体" w:eastAsia="楷体" w:hAnsi="楷体"/>
          <w:sz w:val="28"/>
          <w:szCs w:val="28"/>
        </w:rPr>
        <w:t>-202</w:t>
      </w:r>
      <w:r w:rsidR="00CD7F56">
        <w:rPr>
          <w:rFonts w:ascii="楷体" w:eastAsia="楷体" w:hAnsi="楷体"/>
          <w:sz w:val="28"/>
          <w:szCs w:val="28"/>
        </w:rPr>
        <w:t>4</w:t>
      </w:r>
      <w:r>
        <w:rPr>
          <w:rFonts w:ascii="楷体" w:eastAsia="楷体" w:hAnsi="楷体"/>
          <w:sz w:val="28"/>
          <w:szCs w:val="28"/>
        </w:rPr>
        <w:t>.</w:t>
      </w:r>
      <w:r w:rsidR="00B65573">
        <w:rPr>
          <w:rFonts w:ascii="楷体" w:eastAsia="楷体" w:hAnsi="楷体"/>
          <w:sz w:val="28"/>
          <w:szCs w:val="28"/>
        </w:rPr>
        <w:t>1</w:t>
      </w:r>
      <w:r>
        <w:rPr>
          <w:rFonts w:ascii="楷体" w:eastAsia="楷体" w:hAnsi="楷体"/>
          <w:sz w:val="28"/>
          <w:szCs w:val="28"/>
        </w:rPr>
        <w:t>.</w:t>
      </w:r>
      <w:r w:rsidR="00E86CA0">
        <w:rPr>
          <w:rFonts w:ascii="楷体" w:eastAsia="楷体" w:hAnsi="楷体"/>
          <w:sz w:val="28"/>
          <w:szCs w:val="28"/>
        </w:rPr>
        <w:t>26</w:t>
      </w:r>
      <w:r>
        <w:rPr>
          <w:rFonts w:ascii="楷体" w:eastAsia="楷体" w:hAnsi="楷体" w:hint="eastAsia"/>
          <w:sz w:val="28"/>
          <w:szCs w:val="28"/>
        </w:rPr>
        <w:t>）</w:t>
      </w:r>
    </w:p>
    <w:p w14:paraId="759DBCAE" w14:textId="77777777" w:rsidR="00383A48" w:rsidRDefault="00383A48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14:paraId="3F5C487C" w14:textId="1C14788C" w:rsidR="00383A48" w:rsidRDefault="00A932B7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/>
          <w:sz w:val="28"/>
          <w:szCs w:val="28"/>
        </w:rPr>
        <w:t>核心观点</w:t>
      </w:r>
    </w:p>
    <w:p w14:paraId="52559ED4" w14:textId="4C2235AC" w:rsidR="00383A48" w:rsidRDefault="00C27EB7" w:rsidP="00745FA4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宏观方面</w:t>
      </w:r>
      <w:r w:rsidR="00745FA4">
        <w:rPr>
          <w:rFonts w:ascii="仿宋" w:eastAsia="仿宋" w:hAnsi="仿宋" w:hint="eastAsia"/>
          <w:b/>
          <w:sz w:val="24"/>
          <w:szCs w:val="24"/>
        </w:rPr>
        <w:t>，</w:t>
      </w:r>
      <w:r w:rsidR="00745FA4" w:rsidRPr="00745FA4">
        <w:rPr>
          <w:rFonts w:ascii="仿宋" w:eastAsia="仿宋" w:hAnsi="仿宋" w:hint="eastAsia"/>
          <w:sz w:val="24"/>
          <w:szCs w:val="24"/>
        </w:rPr>
        <w:t>LPR报价维持不变，</w:t>
      </w:r>
      <w:proofErr w:type="gramStart"/>
      <w:r w:rsidR="00745FA4" w:rsidRPr="00745FA4">
        <w:rPr>
          <w:rFonts w:ascii="仿宋" w:eastAsia="仿宋" w:hAnsi="仿宋" w:hint="eastAsia"/>
          <w:sz w:val="24"/>
          <w:szCs w:val="24"/>
        </w:rPr>
        <w:t>央行超预期降准</w:t>
      </w:r>
      <w:proofErr w:type="gramEnd"/>
      <w:r w:rsidR="00745FA4" w:rsidRPr="00745FA4">
        <w:rPr>
          <w:rFonts w:ascii="仿宋" w:eastAsia="仿宋" w:hAnsi="仿宋" w:hint="eastAsia"/>
          <w:sz w:val="24"/>
          <w:szCs w:val="24"/>
        </w:rPr>
        <w:t>0.5个百分点，</w:t>
      </w:r>
      <w:proofErr w:type="gramStart"/>
      <w:r w:rsidR="00745FA4" w:rsidRPr="00745FA4">
        <w:rPr>
          <w:rFonts w:ascii="仿宋" w:eastAsia="仿宋" w:hAnsi="仿宋" w:hint="eastAsia"/>
          <w:sz w:val="24"/>
          <w:szCs w:val="24"/>
        </w:rPr>
        <w:t>此次降准幅度</w:t>
      </w:r>
      <w:proofErr w:type="gramEnd"/>
      <w:r w:rsidR="00745FA4" w:rsidRPr="00745FA4">
        <w:rPr>
          <w:rFonts w:ascii="仿宋" w:eastAsia="仿宋" w:hAnsi="仿宋" w:hint="eastAsia"/>
          <w:sz w:val="24"/>
          <w:szCs w:val="24"/>
        </w:rPr>
        <w:t>较大，提</w:t>
      </w:r>
      <w:proofErr w:type="gramStart"/>
      <w:r w:rsidR="00745FA4" w:rsidRPr="00745FA4">
        <w:rPr>
          <w:rFonts w:ascii="仿宋" w:eastAsia="仿宋" w:hAnsi="仿宋" w:hint="eastAsia"/>
          <w:sz w:val="24"/>
          <w:szCs w:val="24"/>
        </w:rPr>
        <w:t>振市场</w:t>
      </w:r>
      <w:proofErr w:type="gramEnd"/>
      <w:r w:rsidR="00745FA4" w:rsidRPr="00745FA4">
        <w:rPr>
          <w:rFonts w:ascii="仿宋" w:eastAsia="仿宋" w:hAnsi="仿宋" w:hint="eastAsia"/>
          <w:sz w:val="24"/>
          <w:szCs w:val="24"/>
        </w:rPr>
        <w:t>信心。近期，省级两会密集召开，截至1月26日，已有27个</w:t>
      </w:r>
      <w:proofErr w:type="gramStart"/>
      <w:r w:rsidR="00745FA4" w:rsidRPr="00745FA4">
        <w:rPr>
          <w:rFonts w:ascii="仿宋" w:eastAsia="仿宋" w:hAnsi="仿宋" w:hint="eastAsia"/>
          <w:sz w:val="24"/>
          <w:szCs w:val="24"/>
        </w:rPr>
        <w:t>省级地区</w:t>
      </w:r>
      <w:proofErr w:type="gramEnd"/>
      <w:r w:rsidR="00745FA4" w:rsidRPr="00745FA4">
        <w:rPr>
          <w:rFonts w:ascii="仿宋" w:eastAsia="仿宋" w:hAnsi="仿宋" w:hint="eastAsia"/>
          <w:sz w:val="24"/>
          <w:szCs w:val="24"/>
        </w:rPr>
        <w:t>公布了2023年的全年经济数据和2024年经济社会发展预期目标。在部署今年工作时均强调“高质量发展”，在经济社会发展目标设定上，重视科技创新、生态环保等更能体现经济增长质量的指标。国家统计局网站1月27日信息显示，2023年规模以上工业企业利润同比降幅从2022年的4%收窄至2.3%，降幅较1-11月继续收窄2.1个百分点；12月规模以上工业企业利润同比上涨16.80%，增幅较11月收窄12.7个百分点。整体而言，2023年工业企业利润较2022年有所改善，上游原材料价格回落或对中下游制造业利润改善有所支撑。海外方面，欧美制造业PMI超预期上行，欧日央行按兵不动。25日公布数据显示美国第四季度GDP超预期，综合看美国</w:t>
      </w:r>
      <w:proofErr w:type="gramStart"/>
      <w:r w:rsidR="00745FA4" w:rsidRPr="00745FA4">
        <w:rPr>
          <w:rFonts w:ascii="仿宋" w:eastAsia="仿宋" w:hAnsi="仿宋" w:hint="eastAsia"/>
          <w:sz w:val="24"/>
          <w:szCs w:val="24"/>
        </w:rPr>
        <w:t>需求端仍较</w:t>
      </w:r>
      <w:proofErr w:type="gramEnd"/>
      <w:r w:rsidR="00745FA4" w:rsidRPr="00745FA4">
        <w:rPr>
          <w:rFonts w:ascii="仿宋" w:eastAsia="仿宋" w:hAnsi="仿宋" w:hint="eastAsia"/>
          <w:sz w:val="24"/>
          <w:szCs w:val="24"/>
        </w:rPr>
        <w:t>强劲，但供应链瓶颈问题再次显现，短期将产生一定负面影响；1月欧元区制造业PMI初值为46.6%，较前值44.4%回升，但服务业有所回落</w:t>
      </w:r>
      <w:r w:rsidR="00BD416E" w:rsidRPr="00BD416E">
        <w:rPr>
          <w:rFonts w:ascii="仿宋" w:eastAsia="仿宋" w:hAnsi="仿宋" w:hint="eastAsia"/>
          <w:sz w:val="24"/>
          <w:szCs w:val="24"/>
        </w:rPr>
        <w:t>。</w:t>
      </w:r>
    </w:p>
    <w:p w14:paraId="08F2E8D1" w14:textId="7EF17DF8" w:rsidR="00636505" w:rsidRPr="00BD416E" w:rsidRDefault="00A65941" w:rsidP="006C6863">
      <w:pPr>
        <w:spacing w:line="360" w:lineRule="auto"/>
        <w:ind w:firstLineChars="200" w:firstLine="482"/>
        <w:rPr>
          <w:rFonts w:ascii="仿宋" w:eastAsia="仿宋" w:hAnsi="仿宋"/>
          <w:bCs/>
          <w:sz w:val="24"/>
          <w:szCs w:val="24"/>
        </w:rPr>
      </w:pPr>
      <w:r w:rsidRPr="00A65941">
        <w:rPr>
          <w:rFonts w:ascii="仿宋" w:eastAsia="仿宋" w:hAnsi="仿宋" w:hint="eastAsia"/>
          <w:b/>
          <w:sz w:val="24"/>
          <w:szCs w:val="24"/>
        </w:rPr>
        <w:t>权益市场方面，</w:t>
      </w:r>
      <w:r w:rsidR="006C6863" w:rsidRPr="006C6863">
        <w:rPr>
          <w:rFonts w:ascii="仿宋" w:eastAsia="仿宋" w:hAnsi="仿宋" w:hint="eastAsia"/>
          <w:bCs/>
          <w:sz w:val="24"/>
          <w:szCs w:val="24"/>
        </w:rPr>
        <w:t>上周权益市场创新低后呈现V型走势。前半周雪球引发的资金负反馈导致市场情绪极差</w:t>
      </w:r>
      <w:r w:rsidR="006C6863">
        <w:rPr>
          <w:rFonts w:ascii="仿宋" w:eastAsia="仿宋" w:hAnsi="仿宋" w:hint="eastAsia"/>
          <w:bCs/>
          <w:sz w:val="24"/>
          <w:szCs w:val="24"/>
        </w:rPr>
        <w:t>，</w:t>
      </w:r>
      <w:r w:rsidR="006C6863" w:rsidRPr="006C6863">
        <w:rPr>
          <w:rFonts w:ascii="仿宋" w:eastAsia="仿宋" w:hAnsi="仿宋" w:hint="eastAsia"/>
          <w:bCs/>
          <w:sz w:val="24"/>
          <w:szCs w:val="24"/>
        </w:rPr>
        <w:t>上证指数周一下跌2.68%，破2800，</w:t>
      </w:r>
      <w:r w:rsidR="00B257A4">
        <w:rPr>
          <w:rFonts w:ascii="仿宋" w:eastAsia="仿宋" w:hAnsi="仿宋" w:hint="eastAsia"/>
          <w:bCs/>
          <w:sz w:val="24"/>
          <w:szCs w:val="24"/>
        </w:rPr>
        <w:t>上</w:t>
      </w:r>
      <w:r w:rsidR="006C6863" w:rsidRPr="006C6863">
        <w:rPr>
          <w:rFonts w:ascii="仿宋" w:eastAsia="仿宋" w:hAnsi="仿宋" w:hint="eastAsia"/>
          <w:bCs/>
          <w:sz w:val="24"/>
          <w:szCs w:val="24"/>
        </w:rPr>
        <w:t>周二日内最低触及2724点。周中超预期降准、房地产政策、资金支持，托底市场，</w:t>
      </w:r>
      <w:r w:rsidR="00B257A4">
        <w:rPr>
          <w:rFonts w:ascii="仿宋" w:eastAsia="仿宋" w:hAnsi="仿宋" w:hint="eastAsia"/>
          <w:bCs/>
          <w:sz w:val="24"/>
          <w:szCs w:val="24"/>
        </w:rPr>
        <w:t>上</w:t>
      </w:r>
      <w:r w:rsidR="006C6863" w:rsidRPr="006C6863">
        <w:rPr>
          <w:rFonts w:ascii="仿宋" w:eastAsia="仿宋" w:hAnsi="仿宋" w:hint="eastAsia"/>
          <w:bCs/>
          <w:sz w:val="24"/>
          <w:szCs w:val="24"/>
        </w:rPr>
        <w:t>周三日内反转，</w:t>
      </w:r>
      <w:r w:rsidR="00B257A4">
        <w:rPr>
          <w:rFonts w:ascii="仿宋" w:eastAsia="仿宋" w:hAnsi="仿宋" w:hint="eastAsia"/>
          <w:bCs/>
          <w:sz w:val="24"/>
          <w:szCs w:val="24"/>
        </w:rPr>
        <w:t>上</w:t>
      </w:r>
      <w:r w:rsidR="006C6863" w:rsidRPr="006C6863">
        <w:rPr>
          <w:rFonts w:ascii="仿宋" w:eastAsia="仿宋" w:hAnsi="仿宋" w:hint="eastAsia"/>
          <w:bCs/>
          <w:sz w:val="24"/>
          <w:szCs w:val="24"/>
        </w:rPr>
        <w:t>周四指数暴涨3.03%。风格层面，上周大盘价值和红利指数表现较好，成长风格、微盘股指数下跌。市场中长期观点维持不变，结构性机会丰富，看好经营稳健竞争优势突出的低估值白马和经济</w:t>
      </w:r>
      <w:proofErr w:type="gramStart"/>
      <w:r w:rsidR="006C6863" w:rsidRPr="006C6863">
        <w:rPr>
          <w:rFonts w:ascii="仿宋" w:eastAsia="仿宋" w:hAnsi="仿宋" w:hint="eastAsia"/>
          <w:bCs/>
          <w:sz w:val="24"/>
          <w:szCs w:val="24"/>
        </w:rPr>
        <w:t>低相关</w:t>
      </w:r>
      <w:proofErr w:type="gramEnd"/>
      <w:r w:rsidR="006C6863" w:rsidRPr="006C6863">
        <w:rPr>
          <w:rFonts w:ascii="仿宋" w:eastAsia="仿宋" w:hAnsi="仿宋" w:hint="eastAsia"/>
          <w:bCs/>
          <w:sz w:val="24"/>
          <w:szCs w:val="24"/>
        </w:rPr>
        <w:t>度的投资机会。短期观点，</w:t>
      </w:r>
      <w:proofErr w:type="gramStart"/>
      <w:r w:rsidR="006C6863" w:rsidRPr="006C6863">
        <w:rPr>
          <w:rFonts w:ascii="仿宋" w:eastAsia="仿宋" w:hAnsi="仿宋" w:hint="eastAsia"/>
          <w:bCs/>
          <w:sz w:val="24"/>
          <w:szCs w:val="24"/>
        </w:rPr>
        <w:t>超跌由流动性</w:t>
      </w:r>
      <w:proofErr w:type="gramEnd"/>
      <w:r w:rsidR="006C6863" w:rsidRPr="006C6863">
        <w:rPr>
          <w:rFonts w:ascii="仿宋" w:eastAsia="仿宋" w:hAnsi="仿宋" w:hint="eastAsia"/>
          <w:bCs/>
          <w:sz w:val="24"/>
          <w:szCs w:val="24"/>
        </w:rPr>
        <w:t>负反馈引发，短期反弹也更多是由资金驱动，资金流入的方向、筹码压力较小的方向就是反弹阻力最小的方向。经营稳健、竞争优势突出的低估值白马存在估值、盈利双重逻辑，且有资金持续流入。外力只构成托底指数和降低流动性负反馈的影响，上涨的空间最终取决于盈利和估值的平衡。价值/成长相对表现已突破长期历史高点</w:t>
      </w:r>
      <w:r w:rsidR="006C6863">
        <w:rPr>
          <w:rFonts w:ascii="仿宋" w:eastAsia="仿宋" w:hAnsi="仿宋" w:hint="eastAsia"/>
          <w:bCs/>
          <w:sz w:val="24"/>
          <w:szCs w:val="24"/>
        </w:rPr>
        <w:t>,</w:t>
      </w:r>
      <w:r w:rsidR="006C6863" w:rsidRPr="006C6863">
        <w:rPr>
          <w:rFonts w:ascii="仿宋" w:eastAsia="仿宋" w:hAnsi="仿宋" w:hint="eastAsia"/>
          <w:bCs/>
          <w:sz w:val="24"/>
          <w:szCs w:val="24"/>
        </w:rPr>
        <w:t>小盘风格有一定回归</w:t>
      </w:r>
      <w:r w:rsidR="00BD416E" w:rsidRPr="00BD416E">
        <w:rPr>
          <w:rFonts w:ascii="仿宋" w:eastAsia="仿宋" w:hAnsi="仿宋" w:hint="eastAsia"/>
          <w:bCs/>
          <w:sz w:val="24"/>
          <w:szCs w:val="24"/>
        </w:rPr>
        <w:t>。</w:t>
      </w:r>
    </w:p>
    <w:p w14:paraId="53FEDA7D" w14:textId="13C4E680" w:rsidR="008817D3" w:rsidRDefault="007A20BA" w:rsidP="00C27EB7">
      <w:pPr>
        <w:spacing w:line="360" w:lineRule="auto"/>
        <w:ind w:firstLine="420"/>
        <w:rPr>
          <w:sz w:val="18"/>
          <w:szCs w:val="18"/>
        </w:rPr>
      </w:pPr>
      <w:r w:rsidRPr="00240C3C">
        <w:rPr>
          <w:rFonts w:ascii="仿宋" w:eastAsia="仿宋" w:hAnsi="仿宋" w:cs="Times New Roman"/>
          <w:b/>
          <w:sz w:val="24"/>
          <w:szCs w:val="24"/>
        </w:rPr>
        <w:t>固收市场方面</w:t>
      </w:r>
      <w:r>
        <w:rPr>
          <w:rFonts w:ascii="仿宋" w:eastAsia="仿宋" w:hAnsi="仿宋" w:cs="Times New Roman"/>
          <w:sz w:val="24"/>
          <w:szCs w:val="24"/>
        </w:rPr>
        <w:t>，</w:t>
      </w:r>
      <w:r w:rsidR="00B257A4">
        <w:rPr>
          <w:rFonts w:ascii="仿宋" w:eastAsia="仿宋" w:hAnsi="仿宋" w:cs="Times New Roman" w:hint="eastAsia"/>
          <w:sz w:val="24"/>
          <w:szCs w:val="24"/>
        </w:rPr>
        <w:t>上</w:t>
      </w:r>
      <w:r w:rsidR="00745FA4" w:rsidRPr="00C64582">
        <w:rPr>
          <w:rFonts w:ascii="仿宋" w:eastAsia="仿宋" w:hAnsi="仿宋" w:cs="Times New Roman"/>
          <w:sz w:val="24"/>
          <w:szCs w:val="24"/>
        </w:rPr>
        <w:t>周</w:t>
      </w:r>
      <w:r w:rsidR="00745FA4">
        <w:rPr>
          <w:rFonts w:ascii="仿宋" w:eastAsia="仿宋" w:hAnsi="仿宋" w:cs="Times New Roman"/>
          <w:sz w:val="24"/>
          <w:szCs w:val="24"/>
        </w:rPr>
        <w:t>上证指数创新低后主力资金开启持续暴力拉升模式，从最低点</w:t>
      </w:r>
      <w:r w:rsidR="00745FA4" w:rsidRPr="00C64582">
        <w:rPr>
          <w:rFonts w:ascii="仿宋" w:eastAsia="仿宋" w:hAnsi="仿宋" w:cs="Times New Roman"/>
          <w:sz w:val="24"/>
          <w:szCs w:val="24"/>
        </w:rPr>
        <w:t>拉升近</w:t>
      </w:r>
      <w:r w:rsidR="00745FA4" w:rsidRPr="00C64582">
        <w:rPr>
          <w:rFonts w:ascii="仿宋" w:eastAsia="仿宋" w:hAnsi="仿宋" w:cs="Times New Roman" w:hint="eastAsia"/>
          <w:sz w:val="24"/>
          <w:szCs w:val="24"/>
        </w:rPr>
        <w:t>2</w:t>
      </w:r>
      <w:r w:rsidR="00745FA4" w:rsidRPr="00C64582">
        <w:rPr>
          <w:rFonts w:ascii="仿宋" w:eastAsia="仿宋" w:hAnsi="仿宋" w:cs="Times New Roman"/>
          <w:sz w:val="24"/>
          <w:szCs w:val="24"/>
        </w:rPr>
        <w:t>00个点；</w:t>
      </w:r>
      <w:r w:rsidR="00B257A4">
        <w:rPr>
          <w:rFonts w:ascii="仿宋" w:eastAsia="仿宋" w:hAnsi="仿宋" w:cs="Times New Roman" w:hint="eastAsia"/>
          <w:sz w:val="24"/>
          <w:szCs w:val="24"/>
        </w:rPr>
        <w:t>上</w:t>
      </w:r>
      <w:proofErr w:type="gramStart"/>
      <w:r w:rsidR="00745FA4" w:rsidRPr="00C64582">
        <w:rPr>
          <w:rFonts w:ascii="仿宋" w:eastAsia="仿宋" w:hAnsi="仿宋" w:cs="Times New Roman"/>
          <w:sz w:val="24"/>
          <w:szCs w:val="24"/>
        </w:rPr>
        <w:t>周三国</w:t>
      </w:r>
      <w:proofErr w:type="gramEnd"/>
      <w:r w:rsidR="00745FA4" w:rsidRPr="00C64582">
        <w:rPr>
          <w:rFonts w:ascii="仿宋" w:eastAsia="仿宋" w:hAnsi="仿宋" w:cs="Times New Roman"/>
          <w:sz w:val="24"/>
          <w:szCs w:val="24"/>
        </w:rPr>
        <w:t>新办新闻发布会公布</w:t>
      </w:r>
      <w:r w:rsidR="00745FA4">
        <w:rPr>
          <w:rFonts w:ascii="仿宋" w:eastAsia="仿宋" w:hAnsi="仿宋" w:cs="Times New Roman"/>
          <w:sz w:val="24"/>
          <w:szCs w:val="24"/>
        </w:rPr>
        <w:t>于</w:t>
      </w:r>
      <w:proofErr w:type="gramStart"/>
      <w:r w:rsidR="00745FA4" w:rsidRPr="00C64582">
        <w:rPr>
          <w:rFonts w:ascii="仿宋" w:eastAsia="仿宋" w:hAnsi="仿宋" w:cs="Times New Roman" w:hint="eastAsia"/>
          <w:sz w:val="24"/>
          <w:szCs w:val="24"/>
        </w:rPr>
        <w:t>2月5日降准</w:t>
      </w:r>
      <w:proofErr w:type="gramEnd"/>
      <w:r w:rsidR="00745FA4" w:rsidRPr="00C64582">
        <w:rPr>
          <w:rFonts w:ascii="仿宋" w:eastAsia="仿宋" w:hAnsi="仿宋" w:cs="Times New Roman" w:hint="eastAsia"/>
          <w:sz w:val="24"/>
          <w:szCs w:val="24"/>
        </w:rPr>
        <w:t>0</w:t>
      </w:r>
      <w:r w:rsidR="00745FA4" w:rsidRPr="00C64582">
        <w:rPr>
          <w:rFonts w:ascii="仿宋" w:eastAsia="仿宋" w:hAnsi="仿宋" w:cs="Times New Roman"/>
          <w:sz w:val="24"/>
          <w:szCs w:val="24"/>
        </w:rPr>
        <w:t>.5%；前半周央行</w:t>
      </w:r>
      <w:proofErr w:type="gramStart"/>
      <w:r w:rsidR="00745FA4" w:rsidRPr="00C64582">
        <w:rPr>
          <w:rFonts w:ascii="仿宋" w:eastAsia="仿宋" w:hAnsi="仿宋" w:cs="Times New Roman"/>
          <w:sz w:val="24"/>
          <w:szCs w:val="24"/>
        </w:rPr>
        <w:t>有所净回笼</w:t>
      </w:r>
      <w:proofErr w:type="gramEnd"/>
      <w:r w:rsidR="00745FA4" w:rsidRPr="00C64582">
        <w:rPr>
          <w:rFonts w:ascii="仿宋" w:eastAsia="仿宋" w:hAnsi="仿宋" w:cs="Times New Roman"/>
          <w:sz w:val="24"/>
          <w:szCs w:val="24"/>
        </w:rPr>
        <w:t>，</w:t>
      </w:r>
      <w:r w:rsidR="00745FA4" w:rsidRPr="00C64582">
        <w:rPr>
          <w:rFonts w:ascii="仿宋" w:eastAsia="仿宋" w:hAnsi="仿宋" w:cs="Times New Roman"/>
          <w:sz w:val="24"/>
          <w:szCs w:val="24"/>
        </w:rPr>
        <w:lastRenderedPageBreak/>
        <w:t>资金面边际收紧，资金价格明显上行，随后央行开启大额净投放，资金面紧张情绪有所缓解；整体来看，权益市场暴力拉升、资金价格大幅上行、</w:t>
      </w:r>
      <w:proofErr w:type="gramStart"/>
      <w:r w:rsidR="00745FA4" w:rsidRPr="00C64582">
        <w:rPr>
          <w:rFonts w:ascii="仿宋" w:eastAsia="仿宋" w:hAnsi="仿宋" w:cs="Times New Roman"/>
          <w:sz w:val="24"/>
          <w:szCs w:val="24"/>
        </w:rPr>
        <w:t>降准利好</w:t>
      </w:r>
      <w:proofErr w:type="gramEnd"/>
      <w:r w:rsidR="00745FA4" w:rsidRPr="00C64582">
        <w:rPr>
          <w:rFonts w:ascii="仿宋" w:eastAsia="仿宋" w:hAnsi="仿宋" w:cs="Times New Roman"/>
          <w:sz w:val="24"/>
          <w:szCs w:val="24"/>
        </w:rPr>
        <w:t>落地并未影响债市多头情绪，</w:t>
      </w:r>
      <w:r w:rsidR="00745FA4">
        <w:rPr>
          <w:rFonts w:ascii="仿宋" w:eastAsia="仿宋" w:hAnsi="仿宋" w:cs="Times New Roman"/>
          <w:sz w:val="24"/>
          <w:szCs w:val="24"/>
        </w:rPr>
        <w:t>止</w:t>
      </w:r>
      <w:proofErr w:type="gramStart"/>
      <w:r w:rsidR="00745FA4">
        <w:rPr>
          <w:rFonts w:ascii="仿宋" w:eastAsia="仿宋" w:hAnsi="仿宋" w:cs="Times New Roman"/>
          <w:sz w:val="24"/>
          <w:szCs w:val="24"/>
        </w:rPr>
        <w:t>盈盘相对</w:t>
      </w:r>
      <w:proofErr w:type="gramEnd"/>
      <w:r w:rsidR="00745FA4">
        <w:rPr>
          <w:rFonts w:ascii="仿宋" w:eastAsia="仿宋" w:hAnsi="仿宋" w:cs="Times New Roman"/>
          <w:sz w:val="24"/>
          <w:szCs w:val="24"/>
        </w:rPr>
        <w:t>有限，债市延续偏强走势，尤其中短端对</w:t>
      </w:r>
      <w:r w:rsidR="00745FA4" w:rsidRPr="00C64582">
        <w:rPr>
          <w:rFonts w:ascii="仿宋" w:eastAsia="仿宋" w:hAnsi="仿宋" w:cs="Times New Roman"/>
          <w:sz w:val="24"/>
          <w:szCs w:val="24"/>
        </w:rPr>
        <w:t>超预期</w:t>
      </w:r>
      <w:proofErr w:type="gramStart"/>
      <w:r w:rsidR="00745FA4" w:rsidRPr="00C64582">
        <w:rPr>
          <w:rFonts w:ascii="仿宋" w:eastAsia="仿宋" w:hAnsi="仿宋" w:cs="Times New Roman"/>
          <w:sz w:val="24"/>
          <w:szCs w:val="24"/>
        </w:rPr>
        <w:t>降准反应</w:t>
      </w:r>
      <w:proofErr w:type="gramEnd"/>
      <w:r w:rsidR="00745FA4" w:rsidRPr="00C64582">
        <w:rPr>
          <w:rFonts w:ascii="仿宋" w:eastAsia="仿宋" w:hAnsi="仿宋" w:cs="Times New Roman"/>
          <w:sz w:val="24"/>
          <w:szCs w:val="24"/>
        </w:rPr>
        <w:t>明显，下行幅度较大</w:t>
      </w:r>
      <w:r w:rsidR="00745FA4" w:rsidRPr="00580EBE">
        <w:rPr>
          <w:rFonts w:ascii="仿宋" w:eastAsia="仿宋" w:hAnsi="仿宋" w:cs="Times New Roman"/>
          <w:sz w:val="24"/>
          <w:szCs w:val="24"/>
        </w:rPr>
        <w:t>。</w:t>
      </w:r>
      <w:r w:rsidR="00745FA4" w:rsidRPr="00580EBE">
        <w:rPr>
          <w:rFonts w:ascii="仿宋" w:eastAsia="仿宋" w:hAnsi="仿宋" w:cs="Times New Roman" w:hint="eastAsia"/>
          <w:sz w:val="24"/>
          <w:szCs w:val="24"/>
        </w:rPr>
        <w:t>目前，</w:t>
      </w:r>
      <w:proofErr w:type="gramStart"/>
      <w:r w:rsidR="00745FA4" w:rsidRPr="00580EBE">
        <w:rPr>
          <w:rFonts w:ascii="仿宋" w:eastAsia="仿宋" w:hAnsi="仿宋" w:cs="Times New Roman"/>
          <w:sz w:val="24"/>
          <w:szCs w:val="24"/>
        </w:rPr>
        <w:t>一</w:t>
      </w:r>
      <w:r w:rsidR="00745FA4" w:rsidRPr="00580EBE">
        <w:rPr>
          <w:rFonts w:ascii="仿宋" w:eastAsia="仿宋" w:hAnsi="仿宋" w:cs="Times New Roman" w:hint="eastAsia"/>
          <w:sz w:val="24"/>
          <w:szCs w:val="24"/>
        </w:rPr>
        <w:t>年国股</w:t>
      </w:r>
      <w:proofErr w:type="gramEnd"/>
      <w:r w:rsidR="00745FA4" w:rsidRPr="00580EBE">
        <w:rPr>
          <w:rFonts w:ascii="仿宋" w:eastAsia="仿宋" w:hAnsi="仿宋" w:cs="Times New Roman" w:hint="eastAsia"/>
          <w:sz w:val="24"/>
          <w:szCs w:val="24"/>
        </w:rPr>
        <w:t>2</w:t>
      </w:r>
      <w:r w:rsidR="00745FA4" w:rsidRPr="00580EBE">
        <w:rPr>
          <w:rFonts w:ascii="仿宋" w:eastAsia="仿宋" w:hAnsi="仿宋" w:cs="Times New Roman"/>
          <w:sz w:val="24"/>
          <w:szCs w:val="24"/>
        </w:rPr>
        <w:t>.4</w:t>
      </w:r>
      <w:r w:rsidR="00745FA4">
        <w:rPr>
          <w:rFonts w:ascii="仿宋" w:eastAsia="仿宋" w:hAnsi="仿宋" w:cs="Times New Roman"/>
          <w:sz w:val="24"/>
          <w:szCs w:val="24"/>
        </w:rPr>
        <w:t>1</w:t>
      </w:r>
      <w:r w:rsidR="00745FA4" w:rsidRPr="00580EBE">
        <w:rPr>
          <w:rFonts w:ascii="仿宋" w:eastAsia="仿宋" w:hAnsi="仿宋" w:cs="Times New Roman" w:hint="eastAsia"/>
          <w:sz w:val="24"/>
          <w:szCs w:val="24"/>
        </w:rPr>
        <w:t>%，1</w:t>
      </w:r>
      <w:r w:rsidR="00745FA4" w:rsidRPr="00580EBE">
        <w:rPr>
          <w:rFonts w:ascii="仿宋" w:eastAsia="仿宋" w:hAnsi="仿宋" w:cs="Times New Roman"/>
          <w:sz w:val="24"/>
          <w:szCs w:val="24"/>
        </w:rPr>
        <w:t>0年国债</w:t>
      </w:r>
      <w:r w:rsidR="00745FA4" w:rsidRPr="00580EBE">
        <w:rPr>
          <w:rFonts w:ascii="仿宋" w:eastAsia="仿宋" w:hAnsi="仿宋" w:cs="Times New Roman" w:hint="eastAsia"/>
          <w:sz w:val="24"/>
          <w:szCs w:val="24"/>
        </w:rPr>
        <w:t>2</w:t>
      </w:r>
      <w:r w:rsidR="00745FA4" w:rsidRPr="00580EBE">
        <w:rPr>
          <w:rFonts w:ascii="仿宋" w:eastAsia="仿宋" w:hAnsi="仿宋" w:cs="Times New Roman"/>
          <w:sz w:val="24"/>
          <w:szCs w:val="24"/>
        </w:rPr>
        <w:t>.5%，</w:t>
      </w:r>
      <w:r w:rsidR="00745FA4" w:rsidRPr="00580EBE">
        <w:rPr>
          <w:rFonts w:ascii="仿宋" w:eastAsia="仿宋" w:hAnsi="仿宋" w:cs="Times New Roman" w:hint="eastAsia"/>
          <w:sz w:val="24"/>
          <w:szCs w:val="24"/>
        </w:rPr>
        <w:t>3</w:t>
      </w:r>
      <w:r w:rsidR="00745FA4" w:rsidRPr="00580EBE">
        <w:rPr>
          <w:rFonts w:ascii="仿宋" w:eastAsia="仿宋" w:hAnsi="仿宋" w:cs="Times New Roman"/>
          <w:sz w:val="24"/>
          <w:szCs w:val="24"/>
        </w:rPr>
        <w:t>0年国债2.7</w:t>
      </w:r>
      <w:r w:rsidR="00745FA4">
        <w:rPr>
          <w:rFonts w:ascii="仿宋" w:eastAsia="仿宋" w:hAnsi="仿宋" w:cs="Times New Roman"/>
          <w:sz w:val="24"/>
          <w:szCs w:val="24"/>
        </w:rPr>
        <w:t>3</w:t>
      </w:r>
      <w:r w:rsidR="00745FA4" w:rsidRPr="00580EBE">
        <w:rPr>
          <w:rFonts w:ascii="仿宋" w:eastAsia="仿宋" w:hAnsi="仿宋" w:cs="Times New Roman"/>
          <w:sz w:val="24"/>
          <w:szCs w:val="24"/>
        </w:rPr>
        <w:t>%，曲线</w:t>
      </w:r>
      <w:r w:rsidR="00745FA4">
        <w:rPr>
          <w:rFonts w:ascii="仿宋" w:eastAsia="仿宋" w:hAnsi="仿宋" w:cs="Times New Roman"/>
          <w:sz w:val="24"/>
          <w:szCs w:val="24"/>
        </w:rPr>
        <w:t>小幅</w:t>
      </w:r>
      <w:r w:rsidR="00745FA4" w:rsidRPr="00580EBE">
        <w:rPr>
          <w:rFonts w:ascii="仿宋" w:eastAsia="仿宋" w:hAnsi="仿宋" w:cs="Times New Roman"/>
          <w:sz w:val="24"/>
          <w:szCs w:val="24"/>
        </w:rPr>
        <w:t>牛</w:t>
      </w:r>
      <w:r w:rsidR="00745FA4">
        <w:rPr>
          <w:rFonts w:ascii="仿宋" w:eastAsia="仿宋" w:hAnsi="仿宋" w:cs="Times New Roman"/>
          <w:sz w:val="24"/>
          <w:szCs w:val="24"/>
        </w:rPr>
        <w:t>陡</w:t>
      </w:r>
      <w:r w:rsidR="00745FA4" w:rsidRPr="00580EBE">
        <w:rPr>
          <w:rFonts w:ascii="仿宋" w:eastAsia="仿宋" w:hAnsi="仿宋" w:cs="Times New Roman"/>
          <w:sz w:val="24"/>
          <w:szCs w:val="24"/>
        </w:rPr>
        <w:t>。</w:t>
      </w:r>
      <w:r w:rsidR="00745FA4">
        <w:rPr>
          <w:rFonts w:ascii="仿宋" w:eastAsia="仿宋" w:hAnsi="仿宋" w:cs="Times New Roman"/>
          <w:sz w:val="24"/>
          <w:szCs w:val="24"/>
        </w:rPr>
        <w:t>展望未来，</w:t>
      </w:r>
      <w:r w:rsidR="00745FA4" w:rsidRPr="00C16079">
        <w:rPr>
          <w:rFonts w:ascii="仿宋" w:eastAsia="仿宋" w:hAnsi="仿宋" w:cs="Times New Roman" w:hint="eastAsia"/>
          <w:sz w:val="24"/>
          <w:szCs w:val="24"/>
        </w:rPr>
        <w:t>目前</w:t>
      </w:r>
      <w:r w:rsidR="00745FA4">
        <w:rPr>
          <w:rFonts w:ascii="仿宋" w:eastAsia="仿宋" w:hAnsi="仿宋" w:cs="Times New Roman" w:hint="eastAsia"/>
          <w:sz w:val="24"/>
          <w:szCs w:val="24"/>
        </w:rPr>
        <w:t>长端</w:t>
      </w:r>
      <w:r w:rsidR="00745FA4" w:rsidRPr="00C16079">
        <w:rPr>
          <w:rFonts w:ascii="仿宋" w:eastAsia="仿宋" w:hAnsi="仿宋" w:cs="Times New Roman" w:hint="eastAsia"/>
          <w:sz w:val="24"/>
          <w:szCs w:val="24"/>
        </w:rPr>
        <w:t>已</w:t>
      </w:r>
      <w:r w:rsidR="00745FA4">
        <w:rPr>
          <w:rFonts w:ascii="仿宋" w:eastAsia="仿宋" w:hAnsi="仿宋" w:cs="Times New Roman" w:hint="eastAsia"/>
          <w:sz w:val="24"/>
          <w:szCs w:val="24"/>
        </w:rPr>
        <w:t>创新低</w:t>
      </w:r>
      <w:r w:rsidR="00745FA4" w:rsidRPr="00C16079">
        <w:rPr>
          <w:rFonts w:ascii="仿宋" w:eastAsia="仿宋" w:hAnsi="仿宋" w:cs="Times New Roman" w:hint="eastAsia"/>
          <w:sz w:val="24"/>
          <w:szCs w:val="24"/>
        </w:rPr>
        <w:t>，未来进一步下行需要看到短</w:t>
      </w:r>
      <w:proofErr w:type="gramStart"/>
      <w:r w:rsidR="00745FA4" w:rsidRPr="00C16079">
        <w:rPr>
          <w:rFonts w:ascii="仿宋" w:eastAsia="仿宋" w:hAnsi="仿宋" w:cs="Times New Roman" w:hint="eastAsia"/>
          <w:sz w:val="24"/>
          <w:szCs w:val="24"/>
        </w:rPr>
        <w:t>端利率</w:t>
      </w:r>
      <w:proofErr w:type="gramEnd"/>
      <w:r w:rsidR="00745FA4" w:rsidRPr="00C16079">
        <w:rPr>
          <w:rFonts w:ascii="仿宋" w:eastAsia="仿宋" w:hAnsi="仿宋" w:cs="Times New Roman" w:hint="eastAsia"/>
          <w:sz w:val="24"/>
          <w:szCs w:val="24"/>
        </w:rPr>
        <w:t>更大幅度的下行带动</w:t>
      </w:r>
      <w:proofErr w:type="gramStart"/>
      <w:r w:rsidR="00745FA4" w:rsidRPr="00C16079">
        <w:rPr>
          <w:rFonts w:ascii="仿宋" w:eastAsia="仿宋" w:hAnsi="仿宋" w:cs="Times New Roman" w:hint="eastAsia"/>
          <w:sz w:val="24"/>
          <w:szCs w:val="24"/>
        </w:rPr>
        <w:t>牛陡行情</w:t>
      </w:r>
      <w:proofErr w:type="gramEnd"/>
      <w:r w:rsidR="00745FA4">
        <w:rPr>
          <w:rFonts w:ascii="仿宋" w:eastAsia="仿宋" w:hAnsi="仿宋" w:cs="Times New Roman" w:hint="eastAsia"/>
          <w:sz w:val="24"/>
          <w:szCs w:val="24"/>
        </w:rPr>
        <w:t>;</w:t>
      </w:r>
      <w:r w:rsidR="00745FA4" w:rsidRPr="00C16079">
        <w:rPr>
          <w:rFonts w:ascii="仿宋" w:eastAsia="仿宋" w:hAnsi="仿宋" w:cs="Times New Roman"/>
          <w:sz w:val="24"/>
          <w:szCs w:val="24"/>
        </w:rPr>
        <w:t>今年货币宽松的大环境短期不会变，</w:t>
      </w:r>
      <w:r w:rsidR="00745FA4">
        <w:rPr>
          <w:rFonts w:ascii="仿宋" w:eastAsia="仿宋" w:hAnsi="仿宋" w:cs="Times New Roman" w:hint="eastAsia"/>
          <w:sz w:val="24"/>
          <w:szCs w:val="24"/>
        </w:rPr>
        <w:t>降准、降息确有必要</w:t>
      </w:r>
      <w:r w:rsidR="00745FA4" w:rsidRPr="00C16079">
        <w:rPr>
          <w:rFonts w:ascii="仿宋" w:eastAsia="仿宋" w:hAnsi="仿宋" w:cs="Times New Roman" w:hint="eastAsia"/>
          <w:sz w:val="24"/>
          <w:szCs w:val="24"/>
        </w:rPr>
        <w:t>且可能不止一次，</w:t>
      </w:r>
      <w:r w:rsidR="00745FA4">
        <w:rPr>
          <w:rFonts w:ascii="仿宋" w:eastAsia="仿宋" w:hAnsi="仿宋" w:cs="Times New Roman" w:hint="eastAsia"/>
          <w:sz w:val="24"/>
          <w:szCs w:val="24"/>
        </w:rPr>
        <w:t>目前</w:t>
      </w:r>
      <w:proofErr w:type="gramStart"/>
      <w:r w:rsidR="00745FA4">
        <w:rPr>
          <w:rFonts w:ascii="仿宋" w:eastAsia="仿宋" w:hAnsi="仿宋" w:cs="Times New Roman" w:hint="eastAsia"/>
          <w:sz w:val="24"/>
          <w:szCs w:val="24"/>
        </w:rPr>
        <w:t>降准已经</w:t>
      </w:r>
      <w:proofErr w:type="gramEnd"/>
      <w:r w:rsidR="00745FA4">
        <w:rPr>
          <w:rFonts w:ascii="仿宋" w:eastAsia="仿宋" w:hAnsi="仿宋" w:cs="Times New Roman" w:hint="eastAsia"/>
          <w:sz w:val="24"/>
          <w:szCs w:val="24"/>
        </w:rPr>
        <w:t>落地，时点、幅度、公布方式均有所超预期，虽然资金价格中枢不降反升，但市场抢跑明显，尤其中短端下行明显；</w:t>
      </w:r>
      <w:r w:rsidR="00745FA4" w:rsidRPr="00C64582">
        <w:rPr>
          <w:rFonts w:ascii="仿宋" w:eastAsia="仿宋" w:hAnsi="仿宋" w:cs="Times New Roman"/>
          <w:sz w:val="24"/>
          <w:szCs w:val="24"/>
        </w:rPr>
        <w:t>政策利率的调降可能要等到银行</w:t>
      </w:r>
      <w:r w:rsidR="00745FA4">
        <w:rPr>
          <w:rFonts w:ascii="仿宋" w:eastAsia="仿宋" w:hAnsi="仿宋" w:cs="Times New Roman"/>
          <w:sz w:val="24"/>
          <w:szCs w:val="24"/>
        </w:rPr>
        <w:t>净息</w:t>
      </w:r>
      <w:proofErr w:type="gramStart"/>
      <w:r w:rsidR="00745FA4">
        <w:rPr>
          <w:rFonts w:ascii="仿宋" w:eastAsia="仿宋" w:hAnsi="仿宋" w:cs="Times New Roman"/>
          <w:sz w:val="24"/>
          <w:szCs w:val="24"/>
        </w:rPr>
        <w:t>差压力</w:t>
      </w:r>
      <w:proofErr w:type="gramEnd"/>
      <w:r w:rsidR="00745FA4">
        <w:rPr>
          <w:rFonts w:ascii="仿宋" w:eastAsia="仿宋" w:hAnsi="仿宋" w:cs="Times New Roman"/>
          <w:sz w:val="24"/>
          <w:szCs w:val="24"/>
        </w:rPr>
        <w:t>有所缓解</w:t>
      </w:r>
      <w:r w:rsidR="00745FA4" w:rsidRPr="00C64582">
        <w:rPr>
          <w:rFonts w:ascii="仿宋" w:eastAsia="仿宋" w:hAnsi="仿宋" w:cs="Times New Roman"/>
          <w:sz w:val="24"/>
          <w:szCs w:val="24"/>
        </w:rPr>
        <w:t>、外部货币政策转向的确定性再高一点的时间点</w:t>
      </w:r>
      <w:r w:rsidR="00745FA4">
        <w:rPr>
          <w:rFonts w:ascii="仿宋" w:eastAsia="仿宋" w:hAnsi="仿宋" w:cs="Times New Roman"/>
          <w:sz w:val="24"/>
          <w:szCs w:val="24"/>
        </w:rPr>
        <w:t>；另外，近来高层持续发声，</w:t>
      </w:r>
      <w:proofErr w:type="gramStart"/>
      <w:r w:rsidR="00745FA4">
        <w:rPr>
          <w:rFonts w:ascii="仿宋" w:eastAsia="仿宋" w:hAnsi="仿宋" w:cs="Times New Roman"/>
          <w:sz w:val="24"/>
          <w:szCs w:val="24"/>
        </w:rPr>
        <w:t>除了维稳资本市场</w:t>
      </w:r>
      <w:proofErr w:type="gramEnd"/>
      <w:r w:rsidR="00745FA4">
        <w:rPr>
          <w:rFonts w:ascii="仿宋" w:eastAsia="仿宋" w:hAnsi="仿宋" w:cs="Times New Roman"/>
          <w:sz w:val="24"/>
          <w:szCs w:val="24"/>
        </w:rPr>
        <w:t>以外，稳地产也是重中之重，除了大力支持</w:t>
      </w:r>
      <w:proofErr w:type="gramStart"/>
      <w:r w:rsidR="00745FA4">
        <w:rPr>
          <w:rFonts w:ascii="仿宋" w:eastAsia="仿宋" w:hAnsi="仿宋" w:cs="Times New Roman"/>
          <w:sz w:val="24"/>
          <w:szCs w:val="24"/>
        </w:rPr>
        <w:t>房企合理</w:t>
      </w:r>
      <w:proofErr w:type="gramEnd"/>
      <w:r w:rsidR="00745FA4">
        <w:rPr>
          <w:rFonts w:ascii="仿宋" w:eastAsia="仿宋" w:hAnsi="仿宋" w:cs="Times New Roman"/>
          <w:sz w:val="24"/>
          <w:szCs w:val="24"/>
        </w:rPr>
        <w:t>融资需求以外，住建部全面松绑地方楼市政策调控，广州也立马跟进，可见已进入新</w:t>
      </w:r>
      <w:proofErr w:type="gramStart"/>
      <w:r w:rsidR="00745FA4">
        <w:rPr>
          <w:rFonts w:ascii="仿宋" w:eastAsia="仿宋" w:hAnsi="仿宋" w:cs="Times New Roman"/>
          <w:sz w:val="24"/>
          <w:szCs w:val="24"/>
        </w:rPr>
        <w:t>一轮稳增长</w:t>
      </w:r>
      <w:proofErr w:type="gramEnd"/>
      <w:r w:rsidR="00745FA4">
        <w:rPr>
          <w:rFonts w:ascii="仿宋" w:eastAsia="仿宋" w:hAnsi="仿宋" w:cs="Times New Roman"/>
          <w:sz w:val="24"/>
          <w:szCs w:val="24"/>
        </w:rPr>
        <w:t>政策密集期；</w:t>
      </w:r>
      <w:r w:rsidR="00745FA4">
        <w:rPr>
          <w:rFonts w:ascii="仿宋" w:eastAsia="仿宋" w:hAnsi="仿宋" w:cs="Times New Roman" w:hint="eastAsia"/>
          <w:sz w:val="24"/>
          <w:szCs w:val="24"/>
        </w:rPr>
        <w:t>后续需重点关注资金价格中枢变化、</w:t>
      </w:r>
      <w:proofErr w:type="gramStart"/>
      <w:r w:rsidR="00745FA4">
        <w:rPr>
          <w:rFonts w:ascii="仿宋" w:eastAsia="仿宋" w:hAnsi="仿宋" w:cs="Times New Roman" w:hint="eastAsia"/>
          <w:sz w:val="24"/>
          <w:szCs w:val="24"/>
        </w:rPr>
        <w:t>稳增长</w:t>
      </w:r>
      <w:proofErr w:type="gramEnd"/>
      <w:r w:rsidR="00745FA4">
        <w:rPr>
          <w:rFonts w:ascii="仿宋" w:eastAsia="仿宋" w:hAnsi="仿宋" w:cs="Times New Roman" w:hint="eastAsia"/>
          <w:sz w:val="24"/>
          <w:szCs w:val="24"/>
        </w:rPr>
        <w:t>政策具体效果</w:t>
      </w:r>
      <w:r w:rsidR="00745FA4" w:rsidRPr="00580EBE">
        <w:rPr>
          <w:rFonts w:ascii="仿宋" w:eastAsia="仿宋" w:hAnsi="仿宋" w:cs="Times New Roman"/>
          <w:sz w:val="24"/>
          <w:szCs w:val="24"/>
        </w:rPr>
        <w:t>。</w:t>
      </w:r>
      <w:r w:rsidR="00745FA4">
        <w:rPr>
          <w:rFonts w:ascii="仿宋" w:eastAsia="仿宋" w:hAnsi="仿宋" w:cs="Times New Roman" w:hint="eastAsia"/>
          <w:sz w:val="24"/>
          <w:szCs w:val="24"/>
        </w:rPr>
        <w:t>策略上，短期可以博弈曲线陡峭化交易机会，长</w:t>
      </w:r>
      <w:proofErr w:type="gramStart"/>
      <w:r w:rsidR="00745FA4">
        <w:rPr>
          <w:rFonts w:ascii="仿宋" w:eastAsia="仿宋" w:hAnsi="仿宋" w:cs="Times New Roman" w:hint="eastAsia"/>
          <w:sz w:val="24"/>
          <w:szCs w:val="24"/>
        </w:rPr>
        <w:t>端如果</w:t>
      </w:r>
      <w:proofErr w:type="gramEnd"/>
      <w:r w:rsidR="00745FA4">
        <w:rPr>
          <w:rFonts w:ascii="仿宋" w:eastAsia="仿宋" w:hAnsi="仿宋" w:cs="Times New Roman" w:hint="eastAsia"/>
          <w:sz w:val="24"/>
          <w:szCs w:val="24"/>
        </w:rPr>
        <w:t>调整到一定位置，</w:t>
      </w:r>
      <w:r w:rsidR="00745FA4" w:rsidRPr="00A01F54">
        <w:rPr>
          <w:rFonts w:ascii="仿宋" w:eastAsia="仿宋" w:hAnsi="仿宋" w:cs="Times New Roman" w:hint="eastAsia"/>
          <w:sz w:val="24"/>
          <w:szCs w:val="24"/>
        </w:rPr>
        <w:t>如1</w:t>
      </w:r>
      <w:r w:rsidR="00745FA4" w:rsidRPr="00A01F54">
        <w:rPr>
          <w:rFonts w:ascii="仿宋" w:eastAsia="仿宋" w:hAnsi="仿宋" w:cs="Times New Roman"/>
          <w:sz w:val="24"/>
          <w:szCs w:val="24"/>
        </w:rPr>
        <w:t>0年</w:t>
      </w:r>
      <w:r w:rsidR="00745FA4" w:rsidRPr="00A01F54">
        <w:rPr>
          <w:rFonts w:ascii="仿宋" w:eastAsia="仿宋" w:hAnsi="仿宋" w:cs="Times New Roman" w:hint="eastAsia"/>
          <w:sz w:val="24"/>
          <w:szCs w:val="24"/>
        </w:rPr>
        <w:t>到2</w:t>
      </w:r>
      <w:r w:rsidR="00745FA4" w:rsidRPr="00A01F54">
        <w:rPr>
          <w:rFonts w:ascii="仿宋" w:eastAsia="仿宋" w:hAnsi="仿宋" w:cs="Times New Roman"/>
          <w:sz w:val="24"/>
          <w:szCs w:val="24"/>
        </w:rPr>
        <w:t>.55</w:t>
      </w:r>
      <w:r w:rsidR="00745FA4">
        <w:rPr>
          <w:rFonts w:ascii="仿宋" w:eastAsia="仿宋" w:hAnsi="仿宋" w:cs="Times New Roman"/>
          <w:sz w:val="24"/>
          <w:szCs w:val="24"/>
        </w:rPr>
        <w:t>%</w:t>
      </w:r>
      <w:r w:rsidR="00745FA4" w:rsidRPr="00A01F54">
        <w:rPr>
          <w:rFonts w:ascii="仿宋" w:eastAsia="仿宋" w:hAnsi="仿宋" w:cs="Times New Roman"/>
          <w:sz w:val="24"/>
          <w:szCs w:val="24"/>
        </w:rPr>
        <w:t>-2.6%</w:t>
      </w:r>
      <w:r w:rsidR="00745FA4">
        <w:rPr>
          <w:rFonts w:ascii="仿宋" w:eastAsia="仿宋" w:hAnsi="仿宋" w:cs="Times New Roman"/>
          <w:sz w:val="24"/>
          <w:szCs w:val="24"/>
        </w:rPr>
        <w:t>区间，可</w:t>
      </w:r>
      <w:r w:rsidR="00745FA4" w:rsidRPr="00A01F54">
        <w:rPr>
          <w:rFonts w:ascii="仿宋" w:eastAsia="仿宋" w:hAnsi="仿宋" w:cs="Times New Roman"/>
          <w:sz w:val="24"/>
          <w:szCs w:val="24"/>
        </w:rPr>
        <w:t>择机介入</w:t>
      </w:r>
      <w:r w:rsidR="00C27EB7" w:rsidRPr="00C27EB7">
        <w:rPr>
          <w:rFonts w:ascii="仿宋" w:eastAsia="仿宋" w:hAnsi="仿宋" w:cs="Times New Roman" w:hint="eastAsia"/>
          <w:bCs/>
          <w:sz w:val="24"/>
          <w:szCs w:val="24"/>
        </w:rPr>
        <w:t>。</w:t>
      </w:r>
    </w:p>
    <w:p w14:paraId="1C630023" w14:textId="251C914C" w:rsidR="00383A48" w:rsidRDefault="00A932B7" w:rsidP="008817D3">
      <w:pPr>
        <w:spacing w:line="360" w:lineRule="auto"/>
        <w:ind w:firstLine="420"/>
        <w:rPr>
          <w:rFonts w:ascii="黑体" w:eastAsia="黑体" w:hAnsi="黑体"/>
          <w:sz w:val="28"/>
          <w:szCs w:val="28"/>
        </w:rPr>
      </w:pPr>
      <w:r w:rsidRPr="00B02CB6">
        <w:rPr>
          <w:rFonts w:ascii="黑体" w:eastAsia="黑体" w:hAnsi="黑体"/>
          <w:sz w:val="28"/>
          <w:szCs w:val="28"/>
        </w:rPr>
        <w:t>二</w:t>
      </w:r>
      <w:r w:rsidRPr="00B02CB6">
        <w:rPr>
          <w:rFonts w:ascii="黑体" w:eastAsia="黑体" w:hAnsi="黑体" w:hint="eastAsia"/>
          <w:sz w:val="28"/>
          <w:szCs w:val="28"/>
        </w:rPr>
        <w:t>、</w:t>
      </w:r>
      <w:r w:rsidRPr="00B02CB6">
        <w:rPr>
          <w:rFonts w:ascii="黑体" w:eastAsia="黑体" w:hAnsi="黑体"/>
          <w:sz w:val="28"/>
          <w:szCs w:val="28"/>
        </w:rPr>
        <w:t>宏观动态</w:t>
      </w:r>
    </w:p>
    <w:p w14:paraId="1D090D3E" w14:textId="77777777" w:rsidR="00383A48" w:rsidRDefault="00A932B7">
      <w:pPr>
        <w:spacing w:line="360" w:lineRule="auto"/>
        <w:ind w:firstLineChars="200" w:firstLine="482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（一）国内宏观</w:t>
      </w:r>
    </w:p>
    <w:p w14:paraId="5BD2AB6A" w14:textId="77777777" w:rsidR="00745FA4" w:rsidRPr="00745FA4" w:rsidRDefault="00745FA4" w:rsidP="00745FA4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745FA4">
        <w:rPr>
          <w:rFonts w:ascii="仿宋" w:eastAsia="仿宋" w:hAnsi="仿宋" w:hint="eastAsia"/>
          <w:b/>
          <w:sz w:val="24"/>
          <w:szCs w:val="24"/>
        </w:rPr>
        <w:t>中国2023年规模以上工业企业实现利润总额76858.3亿元，同比下降2.3%，降幅比1-11月收窄2.1个百分点。</w:t>
      </w:r>
      <w:r w:rsidRPr="00745FA4">
        <w:rPr>
          <w:rFonts w:ascii="仿宋" w:eastAsia="仿宋" w:hAnsi="仿宋" w:hint="eastAsia"/>
          <w:sz w:val="24"/>
          <w:szCs w:val="24"/>
        </w:rPr>
        <w:t>2023年12月规模以上工业企业实现利润同比增长16.8%，为连续5个月正增长。国家统计局表示，2023年，国内需求逐步改善，工业生产稳步回升，规模以上工业企业效益持续恢复，主要行业利润积极改善，新动能培育壮大，工业经济高质量发展基础进一步巩固；超六成行业全年利润实现增长，七成行业利润呈回升态势；装备制造业利润增长加快，支撑作用进一步增强，2023年装备制造业利润实现正增长，增速为4.1%，比上年加快2.4个百分点；原材料、消费品行业利润</w:t>
      </w:r>
      <w:proofErr w:type="gramStart"/>
      <w:r w:rsidRPr="00745FA4">
        <w:rPr>
          <w:rFonts w:ascii="仿宋" w:eastAsia="仿宋" w:hAnsi="仿宋" w:hint="eastAsia"/>
          <w:sz w:val="24"/>
          <w:szCs w:val="24"/>
        </w:rPr>
        <w:t>降幅收</w:t>
      </w:r>
      <w:proofErr w:type="gramEnd"/>
      <w:r w:rsidRPr="00745FA4">
        <w:rPr>
          <w:rFonts w:ascii="仿宋" w:eastAsia="仿宋" w:hAnsi="仿宋" w:hint="eastAsia"/>
          <w:sz w:val="24"/>
          <w:szCs w:val="24"/>
        </w:rPr>
        <w:t>窄，助推</w:t>
      </w:r>
      <w:proofErr w:type="gramStart"/>
      <w:r w:rsidRPr="00745FA4">
        <w:rPr>
          <w:rFonts w:ascii="仿宋" w:eastAsia="仿宋" w:hAnsi="仿宋" w:hint="eastAsia"/>
          <w:sz w:val="24"/>
          <w:szCs w:val="24"/>
        </w:rPr>
        <w:t>规</w:t>
      </w:r>
      <w:proofErr w:type="gramEnd"/>
      <w:r w:rsidRPr="00745FA4">
        <w:rPr>
          <w:rFonts w:ascii="仿宋" w:eastAsia="仿宋" w:hAnsi="仿宋" w:hint="eastAsia"/>
          <w:sz w:val="24"/>
          <w:szCs w:val="24"/>
        </w:rPr>
        <w:t>上工业利润改善；电气水行业利润快速增长。</w:t>
      </w:r>
    </w:p>
    <w:p w14:paraId="3C06E637" w14:textId="77777777" w:rsidR="00745FA4" w:rsidRPr="00745FA4" w:rsidRDefault="00745FA4" w:rsidP="00745FA4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745FA4">
        <w:rPr>
          <w:rFonts w:ascii="仿宋" w:eastAsia="仿宋" w:hAnsi="仿宋"/>
          <w:b/>
          <w:sz w:val="24"/>
          <w:szCs w:val="24"/>
        </w:rPr>
        <w:t>广州市人民政府办公厅</w:t>
      </w:r>
      <w:r w:rsidRPr="00745FA4">
        <w:rPr>
          <w:rFonts w:ascii="仿宋" w:eastAsia="仿宋" w:hAnsi="仿宋" w:hint="eastAsia"/>
          <w:b/>
          <w:sz w:val="24"/>
          <w:szCs w:val="24"/>
        </w:rPr>
        <w:t>发布《关于进一步优化我市房地产市场平稳健康发展政策措施的通知》。</w:t>
      </w:r>
      <w:r w:rsidRPr="00745FA4">
        <w:rPr>
          <w:rFonts w:ascii="仿宋" w:eastAsia="仿宋" w:hAnsi="仿宋" w:hint="eastAsia"/>
          <w:sz w:val="24"/>
          <w:szCs w:val="24"/>
        </w:rPr>
        <w:t>其中提出，建立房地产融资协调机制，</w:t>
      </w:r>
      <w:proofErr w:type="gramStart"/>
      <w:r w:rsidRPr="00745FA4">
        <w:rPr>
          <w:rFonts w:ascii="仿宋" w:eastAsia="仿宋" w:hAnsi="仿宋" w:hint="eastAsia"/>
          <w:sz w:val="24"/>
          <w:szCs w:val="24"/>
        </w:rPr>
        <w:t>搭建政银企</w:t>
      </w:r>
      <w:proofErr w:type="gramEnd"/>
      <w:r w:rsidRPr="00745FA4">
        <w:rPr>
          <w:rFonts w:ascii="仿宋" w:eastAsia="仿宋" w:hAnsi="仿宋" w:hint="eastAsia"/>
          <w:sz w:val="24"/>
          <w:szCs w:val="24"/>
        </w:rPr>
        <w:t>沟通平台，推动房地产开发企业和金融机构精准对接，提出可以给予融资支持的房地产项目名单，一视同仁满足不同所有制房地产企业合理融资需求。进一步完善公共租赁住房、保障性租赁住房和配售</w:t>
      </w:r>
      <w:proofErr w:type="gramStart"/>
      <w:r w:rsidRPr="00745FA4">
        <w:rPr>
          <w:rFonts w:ascii="仿宋" w:eastAsia="仿宋" w:hAnsi="仿宋" w:hint="eastAsia"/>
          <w:sz w:val="24"/>
          <w:szCs w:val="24"/>
        </w:rPr>
        <w:t>型保障</w:t>
      </w:r>
      <w:proofErr w:type="gramEnd"/>
      <w:r w:rsidRPr="00745FA4">
        <w:rPr>
          <w:rFonts w:ascii="仿宋" w:eastAsia="仿宋" w:hAnsi="仿宋" w:hint="eastAsia"/>
          <w:sz w:val="24"/>
          <w:szCs w:val="24"/>
        </w:rPr>
        <w:t>性住房供应结构和政策体系，加大供应力度，不断满足各类保障人群住房需求。2024年计划筹建配售</w:t>
      </w:r>
      <w:proofErr w:type="gramStart"/>
      <w:r w:rsidRPr="00745FA4">
        <w:rPr>
          <w:rFonts w:ascii="仿宋" w:eastAsia="仿宋" w:hAnsi="仿宋" w:hint="eastAsia"/>
          <w:sz w:val="24"/>
          <w:szCs w:val="24"/>
        </w:rPr>
        <w:t>型保障</w:t>
      </w:r>
      <w:proofErr w:type="gramEnd"/>
      <w:r w:rsidRPr="00745FA4">
        <w:rPr>
          <w:rFonts w:ascii="仿宋" w:eastAsia="仿宋" w:hAnsi="仿宋" w:hint="eastAsia"/>
          <w:sz w:val="24"/>
          <w:szCs w:val="24"/>
        </w:rPr>
        <w:t>性住房1万套、保障性租赁住房10万套，发放住房租赁补贴1.8万户。优化调整限购</w:t>
      </w:r>
      <w:r w:rsidRPr="00745FA4">
        <w:rPr>
          <w:rFonts w:ascii="仿宋" w:eastAsia="仿宋" w:hAnsi="仿宋" w:hint="eastAsia"/>
          <w:sz w:val="24"/>
          <w:szCs w:val="24"/>
        </w:rPr>
        <w:lastRenderedPageBreak/>
        <w:t>政策，在限购区域范围内，购买建筑面积120平方米以上（不含120平方米）住房，不纳入限购范围。</w:t>
      </w:r>
    </w:p>
    <w:p w14:paraId="6FBA9B41" w14:textId="77777777" w:rsidR="00745FA4" w:rsidRPr="00745FA4" w:rsidRDefault="00745FA4" w:rsidP="00745FA4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745FA4">
        <w:rPr>
          <w:rFonts w:ascii="仿宋" w:eastAsia="仿宋" w:hAnsi="仿宋" w:hint="eastAsia"/>
          <w:b/>
          <w:sz w:val="24"/>
          <w:szCs w:val="24"/>
        </w:rPr>
        <w:t>国家金融监管总局召开会议，部署推动落实城市房地产融资协调机制相关工作。</w:t>
      </w:r>
      <w:r w:rsidRPr="00745FA4">
        <w:rPr>
          <w:rFonts w:ascii="仿宋" w:eastAsia="仿宋" w:hAnsi="仿宋" w:hint="eastAsia"/>
          <w:sz w:val="24"/>
          <w:szCs w:val="24"/>
        </w:rPr>
        <w:t>会议指出，要按照公平公正原则，筛选确定可以给予融资支持的房地产项目名单，向本行政区域内金融机构推送。金融机构要高度重视，加强组织领导，建立内部机制，明确工作规则。对符合授信条件的项目，要建立授信绿色通道，优化审批流程、缩短审批时限，积极满足合理融资需求。</w:t>
      </w:r>
    </w:p>
    <w:p w14:paraId="64E2ED32" w14:textId="77777777" w:rsidR="00745FA4" w:rsidRPr="00745FA4" w:rsidRDefault="00745FA4" w:rsidP="00745FA4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745FA4">
        <w:rPr>
          <w:rFonts w:ascii="仿宋" w:eastAsia="仿宋" w:hAnsi="仿宋" w:hint="eastAsia"/>
          <w:b/>
          <w:sz w:val="24"/>
          <w:szCs w:val="24"/>
        </w:rPr>
        <w:t>住建部召开城市房地产融资协调机制部署会。</w:t>
      </w:r>
      <w:r w:rsidRPr="00745FA4">
        <w:rPr>
          <w:rFonts w:ascii="仿宋" w:eastAsia="仿宋" w:hAnsi="仿宋" w:hint="eastAsia"/>
          <w:sz w:val="24"/>
          <w:szCs w:val="24"/>
        </w:rPr>
        <w:t>会议指出，城市房地产融资协调机制加快落地见效，第一批项目“白名单”预计将于1月底前落地并争取贷款。会议强调，项目有序开发建设，是房地产市场平稳健康运行的基础，事关人民群众切身利益。针对当前部分房地产项目融资难题，各地要以项目为对象，抓紧研究提出可以给予融资支持的房地产项目名单，协调本行政区域内金融机构发放贷款，精准有效支持合理融资需求。</w:t>
      </w:r>
    </w:p>
    <w:p w14:paraId="70B2763F" w14:textId="77777777" w:rsidR="00745FA4" w:rsidRPr="00745FA4" w:rsidRDefault="00745FA4" w:rsidP="00745FA4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745FA4">
        <w:rPr>
          <w:rFonts w:ascii="仿宋" w:eastAsia="仿宋" w:hAnsi="仿宋" w:hint="eastAsia"/>
          <w:b/>
          <w:sz w:val="24"/>
          <w:szCs w:val="24"/>
        </w:rPr>
        <w:t>国新办就稳中求进、以</w:t>
      </w:r>
      <w:proofErr w:type="gramStart"/>
      <w:r w:rsidRPr="00745FA4">
        <w:rPr>
          <w:rFonts w:ascii="仿宋" w:eastAsia="仿宋" w:hAnsi="仿宋" w:hint="eastAsia"/>
          <w:b/>
          <w:sz w:val="24"/>
          <w:szCs w:val="24"/>
        </w:rPr>
        <w:t>进促稳</w:t>
      </w:r>
      <w:proofErr w:type="gramEnd"/>
      <w:r w:rsidRPr="00745FA4">
        <w:rPr>
          <w:rFonts w:ascii="仿宋" w:eastAsia="仿宋" w:hAnsi="仿宋" w:hint="eastAsia"/>
          <w:b/>
          <w:sz w:val="24"/>
          <w:szCs w:val="24"/>
        </w:rPr>
        <w:t>，推动商务高质量发展取得新突破举行发布会。</w:t>
      </w:r>
      <w:r w:rsidRPr="00745FA4">
        <w:rPr>
          <w:rFonts w:ascii="仿宋" w:eastAsia="仿宋" w:hAnsi="仿宋" w:hint="eastAsia"/>
          <w:sz w:val="24"/>
          <w:szCs w:val="24"/>
        </w:rPr>
        <w:t>发布会要点包括：超六成</w:t>
      </w:r>
      <w:proofErr w:type="gramStart"/>
      <w:r w:rsidRPr="00745FA4">
        <w:rPr>
          <w:rFonts w:ascii="仿宋" w:eastAsia="仿宋" w:hAnsi="仿宋" w:hint="eastAsia"/>
          <w:sz w:val="24"/>
          <w:szCs w:val="24"/>
        </w:rPr>
        <w:t>稳外资</w:t>
      </w:r>
      <w:proofErr w:type="gramEnd"/>
      <w:r w:rsidRPr="00745FA4">
        <w:rPr>
          <w:rFonts w:ascii="仿宋" w:eastAsia="仿宋" w:hAnsi="仿宋" w:hint="eastAsia"/>
          <w:sz w:val="24"/>
          <w:szCs w:val="24"/>
        </w:rPr>
        <w:t>举措已落实，新</w:t>
      </w:r>
      <w:proofErr w:type="gramStart"/>
      <w:r w:rsidRPr="00745FA4">
        <w:rPr>
          <w:rFonts w:ascii="仿宋" w:eastAsia="仿宋" w:hAnsi="仿宋" w:hint="eastAsia"/>
          <w:sz w:val="24"/>
          <w:szCs w:val="24"/>
        </w:rPr>
        <w:t>一轮稳</w:t>
      </w:r>
      <w:proofErr w:type="gramEnd"/>
      <w:r w:rsidRPr="00745FA4">
        <w:rPr>
          <w:rFonts w:ascii="仿宋" w:eastAsia="仿宋" w:hAnsi="仿宋" w:hint="eastAsia"/>
          <w:sz w:val="24"/>
          <w:szCs w:val="24"/>
        </w:rPr>
        <w:t>外贸政策将尽早出台；今年自</w:t>
      </w:r>
      <w:proofErr w:type="gramStart"/>
      <w:r w:rsidRPr="00745FA4">
        <w:rPr>
          <w:rFonts w:ascii="仿宋" w:eastAsia="仿宋" w:hAnsi="仿宋" w:hint="eastAsia"/>
          <w:sz w:val="24"/>
          <w:szCs w:val="24"/>
        </w:rPr>
        <w:t>贸协定</w:t>
      </w:r>
      <w:proofErr w:type="gramEnd"/>
      <w:r w:rsidRPr="00745FA4">
        <w:rPr>
          <w:rFonts w:ascii="仿宋" w:eastAsia="仿宋" w:hAnsi="仿宋" w:hint="eastAsia"/>
          <w:sz w:val="24"/>
          <w:szCs w:val="24"/>
        </w:rPr>
        <w:t>谈判议程更加丰富，</w:t>
      </w:r>
      <w:r w:rsidRPr="00745FA4">
        <w:rPr>
          <w:rFonts w:ascii="仿宋" w:eastAsia="仿宋" w:hAnsi="仿宋"/>
          <w:sz w:val="24"/>
          <w:szCs w:val="24"/>
        </w:rPr>
        <w:t>商务部</w:t>
      </w:r>
      <w:r w:rsidRPr="00745FA4">
        <w:rPr>
          <w:rFonts w:ascii="仿宋" w:eastAsia="仿宋" w:hAnsi="仿宋" w:hint="eastAsia"/>
          <w:sz w:val="24"/>
          <w:szCs w:val="24"/>
        </w:rPr>
        <w:t>将努力完成和东盟自贸区3.0版谈判；</w:t>
      </w:r>
      <w:r w:rsidRPr="00745FA4">
        <w:rPr>
          <w:rFonts w:ascii="仿宋" w:eastAsia="仿宋" w:hAnsi="仿宋"/>
          <w:sz w:val="24"/>
          <w:szCs w:val="24"/>
        </w:rPr>
        <w:t>商务部</w:t>
      </w:r>
      <w:r w:rsidRPr="00745FA4">
        <w:rPr>
          <w:rFonts w:ascii="仿宋" w:eastAsia="仿宋" w:hAnsi="仿宋" w:hint="eastAsia"/>
          <w:sz w:val="24"/>
          <w:szCs w:val="24"/>
        </w:rPr>
        <w:t>将办好“消费促进年”系列活动，推动汽车、家电等以旧换新；中美双方应加强对话沟通，发掘经贸合作潜力；</w:t>
      </w:r>
      <w:r w:rsidRPr="00745FA4">
        <w:rPr>
          <w:rFonts w:ascii="仿宋" w:eastAsia="仿宋" w:hAnsi="仿宋"/>
          <w:sz w:val="24"/>
          <w:szCs w:val="24"/>
        </w:rPr>
        <w:t>商务部</w:t>
      </w:r>
      <w:r w:rsidRPr="00745FA4">
        <w:rPr>
          <w:rFonts w:ascii="仿宋" w:eastAsia="仿宋" w:hAnsi="仿宋" w:hint="eastAsia"/>
          <w:sz w:val="24"/>
          <w:szCs w:val="24"/>
        </w:rPr>
        <w:t>将继续培育跨境电商外贸新动能。</w:t>
      </w:r>
    </w:p>
    <w:p w14:paraId="096F3BFC" w14:textId="77777777" w:rsidR="00745FA4" w:rsidRPr="00745FA4" w:rsidRDefault="00745FA4" w:rsidP="00745FA4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745FA4">
        <w:rPr>
          <w:rFonts w:ascii="仿宋" w:eastAsia="仿宋" w:hAnsi="仿宋" w:hint="eastAsia"/>
          <w:b/>
          <w:sz w:val="24"/>
          <w:szCs w:val="24"/>
        </w:rPr>
        <w:t>新年首次</w:t>
      </w:r>
      <w:proofErr w:type="gramStart"/>
      <w:r w:rsidRPr="00745FA4">
        <w:rPr>
          <w:rFonts w:ascii="仿宋" w:eastAsia="仿宋" w:hAnsi="仿宋" w:hint="eastAsia"/>
          <w:b/>
          <w:sz w:val="24"/>
          <w:szCs w:val="24"/>
        </w:rPr>
        <w:t>降准即将</w:t>
      </w:r>
      <w:proofErr w:type="gramEnd"/>
      <w:r w:rsidRPr="00745FA4">
        <w:rPr>
          <w:rFonts w:ascii="仿宋" w:eastAsia="仿宋" w:hAnsi="仿宋" w:hint="eastAsia"/>
          <w:b/>
          <w:sz w:val="24"/>
          <w:szCs w:val="24"/>
        </w:rPr>
        <w:t>落地</w:t>
      </w:r>
      <w:r w:rsidRPr="00745FA4">
        <w:rPr>
          <w:rFonts w:ascii="仿宋" w:eastAsia="仿宋" w:hAnsi="仿宋" w:hint="eastAsia"/>
          <w:sz w:val="24"/>
          <w:szCs w:val="24"/>
        </w:rPr>
        <w:t>。为巩固和增强经济回升向好态势，央行决定，自2月5日起下调金融机构存款准备金率0.5个百分点（不含已执行5%存款准备金率的金融机构），向市场提供长期流动性约1</w:t>
      </w:r>
      <w:proofErr w:type="gramStart"/>
      <w:r w:rsidRPr="00745FA4">
        <w:rPr>
          <w:rFonts w:ascii="仿宋" w:eastAsia="仿宋" w:hAnsi="仿宋" w:hint="eastAsia"/>
          <w:sz w:val="24"/>
          <w:szCs w:val="24"/>
        </w:rPr>
        <w:t>万亿</w:t>
      </w:r>
      <w:proofErr w:type="gramEnd"/>
      <w:r w:rsidRPr="00745FA4">
        <w:rPr>
          <w:rFonts w:ascii="仿宋" w:eastAsia="仿宋" w:hAnsi="仿宋" w:hint="eastAsia"/>
          <w:sz w:val="24"/>
          <w:szCs w:val="24"/>
        </w:rPr>
        <w:t>元。本次下调后，金融机构加权平均存款准备金率约为7.0%。</w:t>
      </w:r>
      <w:r w:rsidRPr="00745FA4">
        <w:rPr>
          <w:rFonts w:ascii="仿宋" w:eastAsia="仿宋" w:hAnsi="仿宋"/>
          <w:sz w:val="24"/>
          <w:szCs w:val="24"/>
        </w:rPr>
        <w:t>央行</w:t>
      </w:r>
      <w:r w:rsidRPr="00745FA4">
        <w:rPr>
          <w:rFonts w:ascii="仿宋" w:eastAsia="仿宋" w:hAnsi="仿宋" w:hint="eastAsia"/>
          <w:sz w:val="24"/>
          <w:szCs w:val="24"/>
        </w:rPr>
        <w:t>同时决定，自1月25日起，分别下调支农再贷款、支小再贷款和再贴现利率各0.25个百分点，持续推动社会综合融资成本稳中有降。</w:t>
      </w:r>
    </w:p>
    <w:p w14:paraId="0B5CF802" w14:textId="77777777" w:rsidR="00745FA4" w:rsidRPr="00745FA4" w:rsidRDefault="00745FA4" w:rsidP="00745FA4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745FA4">
        <w:rPr>
          <w:rFonts w:ascii="仿宋" w:eastAsia="仿宋" w:hAnsi="仿宋" w:hint="eastAsia"/>
          <w:b/>
          <w:sz w:val="24"/>
          <w:szCs w:val="24"/>
        </w:rPr>
        <w:t>国新办就贯彻落实中央经济工作会议部署、金融服务实体经济高质量发展情况举行发布会。</w:t>
      </w:r>
      <w:r w:rsidRPr="00745FA4">
        <w:rPr>
          <w:rFonts w:ascii="仿宋" w:eastAsia="仿宋" w:hAnsi="仿宋" w:hint="eastAsia"/>
          <w:sz w:val="24"/>
          <w:szCs w:val="24"/>
        </w:rPr>
        <w:t>发布会要点包括：2024年中美货币政策周期差趋于收敛，有利于增强中国货币政策操作自主性，拓宽货币政策空间；</w:t>
      </w:r>
      <w:r w:rsidRPr="00745FA4">
        <w:rPr>
          <w:rFonts w:ascii="仿宋" w:eastAsia="仿宋" w:hAnsi="仿宋"/>
          <w:sz w:val="24"/>
          <w:szCs w:val="24"/>
        </w:rPr>
        <w:t>央行</w:t>
      </w:r>
      <w:r w:rsidRPr="00745FA4">
        <w:rPr>
          <w:rFonts w:ascii="仿宋" w:eastAsia="仿宋" w:hAnsi="仿宋" w:hint="eastAsia"/>
          <w:sz w:val="24"/>
          <w:szCs w:val="24"/>
        </w:rPr>
        <w:t>将强化货币政策工具逆周期和跨周期调节力度，着力稳市场、稳信心；</w:t>
      </w:r>
      <w:r w:rsidRPr="00745FA4">
        <w:rPr>
          <w:rFonts w:ascii="仿宋" w:eastAsia="仿宋" w:hAnsi="仿宋"/>
          <w:sz w:val="24"/>
          <w:szCs w:val="24"/>
        </w:rPr>
        <w:t>央行</w:t>
      </w:r>
      <w:r w:rsidRPr="00745FA4">
        <w:rPr>
          <w:rFonts w:ascii="仿宋" w:eastAsia="仿宋" w:hAnsi="仿宋" w:hint="eastAsia"/>
          <w:sz w:val="24"/>
          <w:szCs w:val="24"/>
        </w:rPr>
        <w:t>将设立信贷市场司，重点做好五篇大文章相关工作；</w:t>
      </w:r>
      <w:r w:rsidRPr="00745FA4">
        <w:rPr>
          <w:rFonts w:ascii="仿宋" w:eastAsia="仿宋" w:hAnsi="仿宋"/>
          <w:sz w:val="24"/>
          <w:szCs w:val="24"/>
        </w:rPr>
        <w:t>央行</w:t>
      </w:r>
      <w:r w:rsidRPr="00745FA4">
        <w:rPr>
          <w:rFonts w:ascii="仿宋" w:eastAsia="仿宋" w:hAnsi="仿宋" w:hint="eastAsia"/>
          <w:sz w:val="24"/>
          <w:szCs w:val="24"/>
        </w:rPr>
        <w:t>将维护价格稳定、推动价格温和回升作为把握货币政策重要</w:t>
      </w:r>
      <w:proofErr w:type="gramStart"/>
      <w:r w:rsidRPr="00745FA4">
        <w:rPr>
          <w:rFonts w:ascii="仿宋" w:eastAsia="仿宋" w:hAnsi="仿宋" w:hint="eastAsia"/>
          <w:sz w:val="24"/>
          <w:szCs w:val="24"/>
        </w:rPr>
        <w:t>考量</w:t>
      </w:r>
      <w:proofErr w:type="gramEnd"/>
      <w:r w:rsidRPr="00745FA4">
        <w:rPr>
          <w:rFonts w:ascii="仿宋" w:eastAsia="仿宋" w:hAnsi="仿宋" w:hint="eastAsia"/>
          <w:sz w:val="24"/>
          <w:szCs w:val="24"/>
        </w:rPr>
        <w:t>，为包括资本市场在内的金融市场运行创造良好货币金融环境。</w:t>
      </w:r>
    </w:p>
    <w:p w14:paraId="08A326D1" w14:textId="77777777" w:rsidR="00745FA4" w:rsidRPr="00745FA4" w:rsidRDefault="00745FA4" w:rsidP="00745FA4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745FA4">
        <w:rPr>
          <w:rFonts w:ascii="仿宋" w:eastAsia="仿宋" w:hAnsi="仿宋" w:hint="eastAsia"/>
          <w:b/>
          <w:sz w:val="24"/>
          <w:szCs w:val="24"/>
        </w:rPr>
        <w:t>国资委：市值管理成效，将纳入中央企业负责人考核。</w:t>
      </w:r>
      <w:r w:rsidRPr="00745FA4">
        <w:rPr>
          <w:rFonts w:ascii="仿宋" w:eastAsia="仿宋" w:hAnsi="仿宋" w:hint="eastAsia"/>
          <w:sz w:val="24"/>
          <w:szCs w:val="24"/>
        </w:rPr>
        <w:t>国务院国资委表示，将进一步研</w:t>
      </w:r>
      <w:r w:rsidRPr="00745FA4">
        <w:rPr>
          <w:rFonts w:ascii="仿宋" w:eastAsia="仿宋" w:hAnsi="仿宋" w:hint="eastAsia"/>
          <w:sz w:val="24"/>
          <w:szCs w:val="24"/>
        </w:rPr>
        <w:lastRenderedPageBreak/>
        <w:t>究把市值管理纳入中央企业负责人业绩考核，引导中央企业负责人更加重视所控股上市公司市场表现，及时通过应用市场化增持、回购等手段传递信心、稳定预期，加大现金分红力度，更好地回报投资者。据介绍，下一步，</w:t>
      </w:r>
      <w:r w:rsidRPr="00745FA4">
        <w:rPr>
          <w:rFonts w:ascii="仿宋" w:eastAsia="仿宋" w:hAnsi="仿宋"/>
          <w:sz w:val="24"/>
          <w:szCs w:val="24"/>
        </w:rPr>
        <w:t>国务院国资委</w:t>
      </w:r>
      <w:r w:rsidRPr="00745FA4">
        <w:rPr>
          <w:rFonts w:ascii="仿宋" w:eastAsia="仿宋" w:hAnsi="仿宋" w:hint="eastAsia"/>
          <w:sz w:val="24"/>
          <w:szCs w:val="24"/>
        </w:rPr>
        <w:t>将按照国有企业改革深化提升行动有关要求，围绕坚定不移做</w:t>
      </w:r>
      <w:proofErr w:type="gramStart"/>
      <w:r w:rsidRPr="00745FA4">
        <w:rPr>
          <w:rFonts w:ascii="仿宋" w:eastAsia="仿宋" w:hAnsi="仿宋" w:hint="eastAsia"/>
          <w:sz w:val="24"/>
          <w:szCs w:val="24"/>
        </w:rPr>
        <w:t>强做</w:t>
      </w:r>
      <w:proofErr w:type="gramEnd"/>
      <w:r w:rsidRPr="00745FA4">
        <w:rPr>
          <w:rFonts w:ascii="仿宋" w:eastAsia="仿宋" w:hAnsi="仿宋" w:hint="eastAsia"/>
          <w:sz w:val="24"/>
          <w:szCs w:val="24"/>
        </w:rPr>
        <w:t>优做大国有企业的目标，推动重组整合工作进一步</w:t>
      </w:r>
      <w:proofErr w:type="gramStart"/>
      <w:r w:rsidRPr="00745FA4">
        <w:rPr>
          <w:rFonts w:ascii="仿宋" w:eastAsia="仿宋" w:hAnsi="仿宋" w:hint="eastAsia"/>
          <w:sz w:val="24"/>
          <w:szCs w:val="24"/>
        </w:rPr>
        <w:t>走深走实</w:t>
      </w:r>
      <w:proofErr w:type="gramEnd"/>
      <w:r w:rsidRPr="00745FA4">
        <w:rPr>
          <w:rFonts w:ascii="仿宋" w:eastAsia="仿宋" w:hAnsi="仿宋" w:hint="eastAsia"/>
          <w:sz w:val="24"/>
          <w:szCs w:val="24"/>
        </w:rPr>
        <w:t>。</w:t>
      </w:r>
    </w:p>
    <w:p w14:paraId="7614DB57" w14:textId="77777777" w:rsidR="00745FA4" w:rsidRPr="00745FA4" w:rsidRDefault="00745FA4" w:rsidP="00745FA4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745FA4">
        <w:rPr>
          <w:rFonts w:ascii="仿宋" w:eastAsia="仿宋" w:hAnsi="仿宋"/>
          <w:b/>
          <w:sz w:val="24"/>
          <w:szCs w:val="24"/>
        </w:rPr>
        <w:t>李强主持召开国务院常务会议</w:t>
      </w:r>
      <w:r w:rsidRPr="00745FA4">
        <w:rPr>
          <w:rFonts w:ascii="仿宋" w:eastAsia="仿宋" w:hAnsi="仿宋" w:hint="eastAsia"/>
          <w:b/>
          <w:sz w:val="24"/>
          <w:szCs w:val="24"/>
        </w:rPr>
        <w:t>。</w:t>
      </w:r>
      <w:r w:rsidRPr="00745FA4">
        <w:rPr>
          <w:rFonts w:ascii="仿宋" w:eastAsia="仿宋" w:hAnsi="仿宋" w:hint="eastAsia"/>
          <w:sz w:val="24"/>
          <w:szCs w:val="24"/>
        </w:rPr>
        <w:t>会议</w:t>
      </w:r>
      <w:r w:rsidRPr="00745FA4">
        <w:rPr>
          <w:rFonts w:ascii="仿宋" w:eastAsia="仿宋" w:hAnsi="仿宋"/>
          <w:sz w:val="24"/>
          <w:szCs w:val="24"/>
        </w:rPr>
        <w:t>研究全面推进乡村振兴有关举措</w:t>
      </w:r>
      <w:r w:rsidRPr="00745FA4">
        <w:rPr>
          <w:rFonts w:ascii="仿宋" w:eastAsia="仿宋" w:hAnsi="仿宋" w:hint="eastAsia"/>
          <w:sz w:val="24"/>
          <w:szCs w:val="24"/>
        </w:rPr>
        <w:t>，</w:t>
      </w:r>
      <w:r w:rsidRPr="00745FA4">
        <w:rPr>
          <w:rFonts w:ascii="仿宋" w:eastAsia="仿宋" w:hAnsi="仿宋"/>
          <w:sz w:val="24"/>
          <w:szCs w:val="24"/>
        </w:rPr>
        <w:t>审议通过《关于促进即时配送行业高质量发展的指导意见》</w:t>
      </w:r>
      <w:r w:rsidRPr="00745FA4">
        <w:rPr>
          <w:rFonts w:ascii="仿宋" w:eastAsia="仿宋" w:hAnsi="仿宋" w:hint="eastAsia"/>
          <w:sz w:val="24"/>
          <w:szCs w:val="24"/>
        </w:rPr>
        <w:t>，</w:t>
      </w:r>
      <w:r w:rsidRPr="00745FA4">
        <w:rPr>
          <w:rFonts w:ascii="仿宋" w:eastAsia="仿宋" w:hAnsi="仿宋"/>
          <w:sz w:val="24"/>
          <w:szCs w:val="24"/>
        </w:rPr>
        <w:t>研究部署推动人工智能赋能新型工业化有关工作</w:t>
      </w:r>
      <w:r w:rsidRPr="00745FA4">
        <w:rPr>
          <w:rFonts w:ascii="仿宋" w:eastAsia="仿宋" w:hAnsi="仿宋" w:hint="eastAsia"/>
          <w:sz w:val="24"/>
          <w:szCs w:val="24"/>
        </w:rPr>
        <w:t>，</w:t>
      </w:r>
      <w:r w:rsidRPr="00745FA4">
        <w:rPr>
          <w:rFonts w:ascii="仿宋" w:eastAsia="仿宋" w:hAnsi="仿宋"/>
          <w:sz w:val="24"/>
          <w:szCs w:val="24"/>
        </w:rPr>
        <w:t>听取资本市场运行情况及工作考虑的汇报</w:t>
      </w:r>
      <w:r w:rsidRPr="00745FA4">
        <w:rPr>
          <w:rFonts w:ascii="仿宋" w:eastAsia="仿宋" w:hAnsi="仿宋" w:hint="eastAsia"/>
          <w:sz w:val="24"/>
          <w:szCs w:val="24"/>
        </w:rPr>
        <w:t>，强调要进一步健全完善资本市场基础制度，更加注重投融资动态平衡；加大中长期资金入市力度，增强市场内在稳定性。要加强资本市场监管，对违法违规行为“零容忍”，打造规范透明的市场环境。要采取更加有力有效措施，着力稳市场、稳信心。</w:t>
      </w:r>
    </w:p>
    <w:p w14:paraId="3D7DF0A4" w14:textId="4B349413" w:rsidR="004E008A" w:rsidRPr="004E008A" w:rsidRDefault="004E008A" w:rsidP="00253F1A">
      <w:pPr>
        <w:spacing w:line="360" w:lineRule="auto"/>
        <w:ind w:firstLineChars="200" w:firstLine="482"/>
        <w:rPr>
          <w:rFonts w:ascii="仿宋" w:eastAsia="仿宋" w:hAnsi="仿宋" w:cs="Times New Roman"/>
          <w:b/>
          <w:bCs/>
          <w:sz w:val="24"/>
          <w:szCs w:val="24"/>
        </w:rPr>
      </w:pPr>
      <w:r w:rsidRPr="004E008A">
        <w:rPr>
          <w:rFonts w:ascii="仿宋" w:eastAsia="仿宋" w:hAnsi="仿宋" w:cs="Times New Roman" w:hint="eastAsia"/>
          <w:b/>
          <w:bCs/>
          <w:sz w:val="24"/>
          <w:szCs w:val="24"/>
        </w:rPr>
        <w:t>（二）海外宏观</w:t>
      </w:r>
    </w:p>
    <w:p w14:paraId="1782F0AC" w14:textId="77777777" w:rsidR="00745FA4" w:rsidRPr="00745FA4" w:rsidRDefault="00745FA4" w:rsidP="00745FA4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745FA4">
        <w:rPr>
          <w:rFonts w:ascii="仿宋" w:eastAsia="仿宋" w:hAnsi="仿宋" w:hint="eastAsia"/>
          <w:b/>
          <w:sz w:val="24"/>
          <w:szCs w:val="24"/>
        </w:rPr>
        <w:t>美国上周初请失业</w:t>
      </w:r>
      <w:proofErr w:type="gramStart"/>
      <w:r w:rsidRPr="00745FA4">
        <w:rPr>
          <w:rFonts w:ascii="仿宋" w:eastAsia="仿宋" w:hAnsi="仿宋" w:hint="eastAsia"/>
          <w:b/>
          <w:sz w:val="24"/>
          <w:szCs w:val="24"/>
        </w:rPr>
        <w:t>金人数</w:t>
      </w:r>
      <w:proofErr w:type="gramEnd"/>
      <w:r w:rsidRPr="00745FA4">
        <w:rPr>
          <w:rFonts w:ascii="仿宋" w:eastAsia="仿宋" w:hAnsi="仿宋" w:hint="eastAsia"/>
          <w:b/>
          <w:sz w:val="24"/>
          <w:szCs w:val="24"/>
        </w:rPr>
        <w:t>意外增至21.4万人。</w:t>
      </w:r>
      <w:r w:rsidRPr="00745FA4">
        <w:rPr>
          <w:rFonts w:ascii="仿宋" w:eastAsia="仿宋" w:hAnsi="仿宋"/>
          <w:sz w:val="24"/>
          <w:szCs w:val="24"/>
        </w:rPr>
        <w:t>美国上周初请失业</w:t>
      </w:r>
      <w:proofErr w:type="gramStart"/>
      <w:r w:rsidRPr="00745FA4">
        <w:rPr>
          <w:rFonts w:ascii="仿宋" w:eastAsia="仿宋" w:hAnsi="仿宋"/>
          <w:sz w:val="24"/>
          <w:szCs w:val="24"/>
        </w:rPr>
        <w:t>金人数</w:t>
      </w:r>
      <w:proofErr w:type="gramEnd"/>
      <w:r w:rsidRPr="00745FA4">
        <w:rPr>
          <w:rFonts w:ascii="仿宋" w:eastAsia="仿宋" w:hAnsi="仿宋" w:hint="eastAsia"/>
          <w:sz w:val="24"/>
          <w:szCs w:val="24"/>
        </w:rPr>
        <w:t>为21.4万人，预期20万人，前值18.7万人；1月13日</w:t>
      </w:r>
      <w:r w:rsidRPr="00745FA4">
        <w:rPr>
          <w:rFonts w:ascii="仿宋" w:eastAsia="仿宋" w:hAnsi="仿宋"/>
          <w:sz w:val="24"/>
          <w:szCs w:val="24"/>
        </w:rPr>
        <w:t>当</w:t>
      </w:r>
      <w:proofErr w:type="gramStart"/>
      <w:r w:rsidRPr="00745FA4">
        <w:rPr>
          <w:rFonts w:ascii="仿宋" w:eastAsia="仿宋" w:hAnsi="仿宋"/>
          <w:sz w:val="24"/>
          <w:szCs w:val="24"/>
        </w:rPr>
        <w:t>周续请失业金人数</w:t>
      </w:r>
      <w:proofErr w:type="gramEnd"/>
      <w:r w:rsidRPr="00745FA4">
        <w:rPr>
          <w:rFonts w:ascii="仿宋" w:eastAsia="仿宋" w:hAnsi="仿宋" w:hint="eastAsia"/>
          <w:sz w:val="24"/>
          <w:szCs w:val="24"/>
        </w:rPr>
        <w:t>183.3万，预期182.8万人，前值180.6万人。</w:t>
      </w:r>
    </w:p>
    <w:p w14:paraId="1557B6C7" w14:textId="77777777" w:rsidR="00745FA4" w:rsidRPr="00745FA4" w:rsidRDefault="00745FA4" w:rsidP="00745FA4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745FA4">
        <w:rPr>
          <w:rFonts w:ascii="仿宋" w:eastAsia="仿宋" w:hAnsi="仿宋" w:hint="eastAsia"/>
          <w:b/>
          <w:sz w:val="24"/>
          <w:szCs w:val="24"/>
        </w:rPr>
        <w:t>今年首次议</w:t>
      </w:r>
      <w:proofErr w:type="gramStart"/>
      <w:r w:rsidRPr="00745FA4">
        <w:rPr>
          <w:rFonts w:ascii="仿宋" w:eastAsia="仿宋" w:hAnsi="仿宋" w:hint="eastAsia"/>
          <w:b/>
          <w:sz w:val="24"/>
          <w:szCs w:val="24"/>
        </w:rPr>
        <w:t>息会议</w:t>
      </w:r>
      <w:proofErr w:type="gramEnd"/>
      <w:r w:rsidRPr="00745FA4">
        <w:rPr>
          <w:rFonts w:ascii="仿宋" w:eastAsia="仿宋" w:hAnsi="仿宋" w:hint="eastAsia"/>
          <w:b/>
          <w:sz w:val="24"/>
          <w:szCs w:val="24"/>
        </w:rPr>
        <w:t>欧洲央行维持主要利率不变，何时降息仍为关注点。</w:t>
      </w:r>
      <w:r w:rsidRPr="00745FA4">
        <w:rPr>
          <w:rFonts w:ascii="仿宋" w:eastAsia="仿宋" w:hAnsi="仿宋" w:hint="eastAsia"/>
          <w:sz w:val="24"/>
          <w:szCs w:val="24"/>
        </w:rPr>
        <w:t>欧洲央行将主要再融资利率、存款机制利率、边际贷款利率分别维持在4.5%、4%及4.75%不变，符合市场预期。欧洲央行行长拉加德表示，现在谈论降息为时过早。2023年第四季度经济可能停滞不前，预计通胀将在2024年进一步缓解。</w:t>
      </w:r>
    </w:p>
    <w:p w14:paraId="610B9DEC" w14:textId="77777777" w:rsidR="00745FA4" w:rsidRPr="00102F4F" w:rsidRDefault="00745FA4" w:rsidP="00745FA4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745FA4">
        <w:rPr>
          <w:rFonts w:ascii="仿宋" w:eastAsia="仿宋" w:hAnsi="仿宋" w:hint="eastAsia"/>
          <w:b/>
          <w:sz w:val="24"/>
          <w:szCs w:val="24"/>
        </w:rPr>
        <w:t>美国</w:t>
      </w:r>
      <w:proofErr w:type="gramStart"/>
      <w:r w:rsidRPr="00745FA4">
        <w:rPr>
          <w:rFonts w:ascii="仿宋" w:eastAsia="仿宋" w:hAnsi="仿宋" w:hint="eastAsia"/>
          <w:b/>
          <w:sz w:val="24"/>
          <w:szCs w:val="24"/>
        </w:rPr>
        <w:t>财长耶伦认为</w:t>
      </w:r>
      <w:proofErr w:type="gramEnd"/>
      <w:r w:rsidRPr="00745FA4">
        <w:rPr>
          <w:rFonts w:ascii="仿宋" w:eastAsia="仿宋" w:hAnsi="仿宋" w:hint="eastAsia"/>
          <w:b/>
          <w:sz w:val="24"/>
          <w:szCs w:val="24"/>
        </w:rPr>
        <w:t>，美国经济今年没有理由出现衰退。</w:t>
      </w:r>
      <w:r w:rsidRPr="00745FA4">
        <w:rPr>
          <w:rFonts w:ascii="仿宋" w:eastAsia="仿宋" w:hAnsi="仿宋" w:hint="eastAsia"/>
          <w:sz w:val="24"/>
          <w:szCs w:val="24"/>
        </w:rPr>
        <w:t>虽然美国债务负担成本仍然可控，但如果利率在更长时间内保持高位，可能对财政可持续性构成威胁。</w:t>
      </w:r>
      <w:r w:rsidRPr="00745FA4">
        <w:rPr>
          <w:rFonts w:ascii="仿宋" w:eastAsia="仿宋" w:hAnsi="仿宋"/>
          <w:sz w:val="24"/>
          <w:szCs w:val="24"/>
        </w:rPr>
        <w:t>野村证券</w:t>
      </w:r>
      <w:r w:rsidRPr="00745FA4">
        <w:rPr>
          <w:rFonts w:ascii="仿宋" w:eastAsia="仿宋" w:hAnsi="仿宋" w:hint="eastAsia"/>
          <w:sz w:val="24"/>
          <w:szCs w:val="24"/>
        </w:rPr>
        <w:t>预计，美联储将在5月、7月、9月和12月共降息100个基点。</w:t>
      </w:r>
    </w:p>
    <w:p w14:paraId="5DAB1DB4" w14:textId="77777777" w:rsidR="00383A48" w:rsidRDefault="00A932B7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三、市场回顾</w:t>
      </w:r>
    </w:p>
    <w:p w14:paraId="2387FC84" w14:textId="77777777" w:rsidR="00163C34" w:rsidRDefault="00163C34" w:rsidP="00163C34">
      <w:pPr>
        <w:spacing w:line="360" w:lineRule="auto"/>
        <w:ind w:firstLineChars="200" w:firstLine="482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（一）权益市场</w:t>
      </w:r>
    </w:p>
    <w:p w14:paraId="4336A1EF" w14:textId="77777777" w:rsidR="00253F1A" w:rsidRDefault="00253F1A" w:rsidP="00253F1A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1、权益市场走势</w:t>
      </w:r>
    </w:p>
    <w:p w14:paraId="3BDEC6B9" w14:textId="44975CCC" w:rsidR="00745FA4" w:rsidRPr="00745FA4" w:rsidRDefault="00745FA4" w:rsidP="00745FA4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bookmarkStart w:id="0" w:name="_Hlk157368533"/>
      <w:r w:rsidRPr="00745FA4">
        <w:rPr>
          <w:rFonts w:ascii="仿宋" w:eastAsia="仿宋" w:hAnsi="仿宋" w:hint="eastAsia"/>
          <w:b/>
          <w:sz w:val="24"/>
          <w:szCs w:val="24"/>
        </w:rPr>
        <w:t>上周A</w:t>
      </w:r>
      <w:proofErr w:type="gramStart"/>
      <w:r w:rsidRPr="00745FA4">
        <w:rPr>
          <w:rFonts w:ascii="仿宋" w:eastAsia="仿宋" w:hAnsi="仿宋" w:hint="eastAsia"/>
          <w:b/>
          <w:sz w:val="24"/>
          <w:szCs w:val="24"/>
        </w:rPr>
        <w:t>股各宽基</w:t>
      </w:r>
      <w:proofErr w:type="gramEnd"/>
      <w:r w:rsidRPr="00745FA4">
        <w:rPr>
          <w:rFonts w:ascii="仿宋" w:eastAsia="仿宋" w:hAnsi="仿宋" w:hint="eastAsia"/>
          <w:b/>
          <w:sz w:val="24"/>
          <w:szCs w:val="24"/>
        </w:rPr>
        <w:t>指数多数上涨，</w:t>
      </w:r>
      <w:proofErr w:type="gramStart"/>
      <w:r w:rsidRPr="00745FA4">
        <w:rPr>
          <w:rFonts w:ascii="仿宋" w:eastAsia="仿宋" w:hAnsi="仿宋" w:hint="eastAsia"/>
          <w:b/>
          <w:sz w:val="24"/>
          <w:szCs w:val="24"/>
        </w:rPr>
        <w:t>科创</w:t>
      </w:r>
      <w:proofErr w:type="gramEnd"/>
      <w:r w:rsidRPr="00745FA4">
        <w:rPr>
          <w:rFonts w:ascii="仿宋" w:eastAsia="仿宋" w:hAnsi="仿宋" w:hint="eastAsia"/>
          <w:b/>
          <w:sz w:val="24"/>
          <w:szCs w:val="24"/>
        </w:rPr>
        <w:t>5</w:t>
      </w:r>
      <w:r w:rsidRPr="00745FA4">
        <w:rPr>
          <w:rFonts w:ascii="仿宋" w:eastAsia="仿宋" w:hAnsi="仿宋"/>
          <w:b/>
          <w:sz w:val="24"/>
          <w:szCs w:val="24"/>
        </w:rPr>
        <w:t>0</w:t>
      </w:r>
      <w:r w:rsidRPr="00745FA4">
        <w:rPr>
          <w:rFonts w:ascii="仿宋" w:eastAsia="仿宋" w:hAnsi="仿宋" w:hint="eastAsia"/>
          <w:b/>
          <w:sz w:val="24"/>
          <w:szCs w:val="24"/>
        </w:rPr>
        <w:t>下跌。</w:t>
      </w:r>
      <w:r w:rsidRPr="00745FA4">
        <w:rPr>
          <w:rFonts w:ascii="仿宋" w:eastAsia="仿宋" w:hAnsi="仿宋" w:hint="eastAsia"/>
          <w:sz w:val="24"/>
          <w:szCs w:val="24"/>
        </w:rPr>
        <w:t>截至</w:t>
      </w:r>
      <w:r w:rsidRPr="00745FA4">
        <w:rPr>
          <w:rFonts w:ascii="仿宋" w:eastAsia="仿宋" w:hAnsi="仿宋"/>
          <w:sz w:val="24"/>
          <w:szCs w:val="24"/>
        </w:rPr>
        <w:t>1月</w:t>
      </w:r>
      <w:r w:rsidRPr="00745FA4">
        <w:rPr>
          <w:rFonts w:ascii="仿宋" w:eastAsia="仿宋" w:hAnsi="仿宋" w:hint="eastAsia"/>
          <w:sz w:val="24"/>
          <w:szCs w:val="24"/>
        </w:rPr>
        <w:t>2</w:t>
      </w:r>
      <w:r w:rsidRPr="00745FA4">
        <w:rPr>
          <w:rFonts w:ascii="仿宋" w:eastAsia="仿宋" w:hAnsi="仿宋"/>
          <w:sz w:val="24"/>
          <w:szCs w:val="24"/>
        </w:rPr>
        <w:t>6日</w:t>
      </w:r>
      <w:r w:rsidRPr="00745FA4">
        <w:rPr>
          <w:rFonts w:ascii="仿宋" w:eastAsia="仿宋" w:hAnsi="仿宋" w:hint="eastAsia"/>
          <w:sz w:val="24"/>
          <w:szCs w:val="24"/>
        </w:rPr>
        <w:t>，上证5</w:t>
      </w:r>
      <w:r w:rsidRPr="00745FA4">
        <w:rPr>
          <w:rFonts w:ascii="仿宋" w:eastAsia="仿宋" w:hAnsi="仿宋"/>
          <w:sz w:val="24"/>
          <w:szCs w:val="24"/>
        </w:rPr>
        <w:t>0</w:t>
      </w:r>
      <w:r w:rsidRPr="00745FA4">
        <w:rPr>
          <w:rFonts w:ascii="仿宋" w:eastAsia="仿宋" w:hAnsi="仿宋" w:hint="eastAsia"/>
          <w:sz w:val="24"/>
          <w:szCs w:val="24"/>
        </w:rPr>
        <w:t>上涨3</w:t>
      </w:r>
      <w:r w:rsidRPr="00745FA4">
        <w:rPr>
          <w:rFonts w:ascii="仿宋" w:eastAsia="仿宋" w:hAnsi="仿宋"/>
          <w:sz w:val="24"/>
          <w:szCs w:val="24"/>
        </w:rPr>
        <w:t>.16%</w:t>
      </w:r>
      <w:r w:rsidRPr="00745FA4">
        <w:rPr>
          <w:rFonts w:ascii="仿宋" w:eastAsia="仿宋" w:hAnsi="仿宋" w:hint="eastAsia"/>
          <w:sz w:val="24"/>
          <w:szCs w:val="24"/>
        </w:rPr>
        <w:t>，上证指数上涨</w:t>
      </w:r>
      <w:r w:rsidRPr="00745FA4">
        <w:rPr>
          <w:rFonts w:ascii="仿宋" w:eastAsia="仿宋" w:hAnsi="仿宋"/>
          <w:sz w:val="24"/>
          <w:szCs w:val="24"/>
        </w:rPr>
        <w:t>2.75%</w:t>
      </w:r>
      <w:r w:rsidRPr="00745FA4">
        <w:rPr>
          <w:rFonts w:ascii="仿宋" w:eastAsia="仿宋" w:hAnsi="仿宋" w:hint="eastAsia"/>
          <w:sz w:val="24"/>
          <w:szCs w:val="24"/>
        </w:rPr>
        <w:t>，沪深3</w:t>
      </w:r>
      <w:r w:rsidRPr="00745FA4">
        <w:rPr>
          <w:rFonts w:ascii="仿宋" w:eastAsia="仿宋" w:hAnsi="仿宋"/>
          <w:sz w:val="24"/>
          <w:szCs w:val="24"/>
        </w:rPr>
        <w:t>00</w:t>
      </w:r>
      <w:r w:rsidRPr="00745FA4">
        <w:rPr>
          <w:rFonts w:ascii="仿宋" w:eastAsia="仿宋" w:hAnsi="仿宋" w:hint="eastAsia"/>
          <w:sz w:val="24"/>
          <w:szCs w:val="24"/>
        </w:rPr>
        <w:t>上涨1</w:t>
      </w:r>
      <w:r w:rsidRPr="00745FA4">
        <w:rPr>
          <w:rFonts w:ascii="仿宋" w:eastAsia="仿宋" w:hAnsi="仿宋"/>
          <w:sz w:val="24"/>
          <w:szCs w:val="24"/>
        </w:rPr>
        <w:t>.96%</w:t>
      </w:r>
      <w:r w:rsidRPr="00745FA4">
        <w:rPr>
          <w:rFonts w:ascii="仿宋" w:eastAsia="仿宋" w:hAnsi="仿宋" w:hint="eastAsia"/>
          <w:sz w:val="24"/>
          <w:szCs w:val="24"/>
        </w:rPr>
        <w:t>，万得全A上涨0</w:t>
      </w:r>
      <w:r w:rsidRPr="00745FA4">
        <w:rPr>
          <w:rFonts w:ascii="仿宋" w:eastAsia="仿宋" w:hAnsi="仿宋"/>
          <w:sz w:val="24"/>
          <w:szCs w:val="24"/>
        </w:rPr>
        <w:t>.52%</w:t>
      </w:r>
      <w:r w:rsidRPr="00745FA4">
        <w:rPr>
          <w:rFonts w:ascii="仿宋" w:eastAsia="仿宋" w:hAnsi="仿宋" w:hint="eastAsia"/>
          <w:sz w:val="24"/>
          <w:szCs w:val="24"/>
        </w:rPr>
        <w:t>，涨幅靠前。</w:t>
      </w:r>
      <w:proofErr w:type="gramStart"/>
      <w:r w:rsidRPr="00745FA4">
        <w:rPr>
          <w:rFonts w:ascii="仿宋" w:eastAsia="仿宋" w:hAnsi="仿宋" w:hint="eastAsia"/>
          <w:sz w:val="24"/>
          <w:szCs w:val="24"/>
        </w:rPr>
        <w:t>科创</w:t>
      </w:r>
      <w:proofErr w:type="gramEnd"/>
      <w:r w:rsidRPr="00745FA4">
        <w:rPr>
          <w:rFonts w:ascii="仿宋" w:eastAsia="仿宋" w:hAnsi="仿宋" w:hint="eastAsia"/>
          <w:sz w:val="24"/>
          <w:szCs w:val="24"/>
        </w:rPr>
        <w:t>5</w:t>
      </w:r>
      <w:r w:rsidRPr="00745FA4">
        <w:rPr>
          <w:rFonts w:ascii="仿宋" w:eastAsia="仿宋" w:hAnsi="仿宋"/>
          <w:sz w:val="24"/>
          <w:szCs w:val="24"/>
        </w:rPr>
        <w:t>0</w:t>
      </w:r>
      <w:r w:rsidRPr="00745FA4">
        <w:rPr>
          <w:rFonts w:ascii="仿宋" w:eastAsia="仿宋" w:hAnsi="仿宋" w:hint="eastAsia"/>
          <w:sz w:val="24"/>
          <w:szCs w:val="24"/>
        </w:rPr>
        <w:t>下跌2</w:t>
      </w:r>
      <w:r w:rsidRPr="00745FA4">
        <w:rPr>
          <w:rFonts w:ascii="仿宋" w:eastAsia="仿宋" w:hAnsi="仿宋"/>
          <w:sz w:val="24"/>
          <w:szCs w:val="24"/>
        </w:rPr>
        <w:t>.53%</w:t>
      </w:r>
      <w:r w:rsidRPr="00745FA4">
        <w:rPr>
          <w:rFonts w:ascii="仿宋" w:eastAsia="仿宋" w:hAnsi="仿宋" w:hint="eastAsia"/>
          <w:sz w:val="24"/>
          <w:szCs w:val="24"/>
        </w:rPr>
        <w:t>，创业板指下跌1</w:t>
      </w:r>
      <w:r w:rsidRPr="00745FA4">
        <w:rPr>
          <w:rFonts w:ascii="仿宋" w:eastAsia="仿宋" w:hAnsi="仿宋"/>
          <w:sz w:val="24"/>
          <w:szCs w:val="24"/>
        </w:rPr>
        <w:t>.92%</w:t>
      </w:r>
      <w:r w:rsidRPr="00745FA4">
        <w:rPr>
          <w:rFonts w:ascii="仿宋" w:eastAsia="仿宋" w:hAnsi="仿宋" w:hint="eastAsia"/>
          <w:sz w:val="24"/>
          <w:szCs w:val="24"/>
        </w:rPr>
        <w:t>，中证1</w:t>
      </w:r>
      <w:r w:rsidRPr="00745FA4">
        <w:rPr>
          <w:rFonts w:ascii="仿宋" w:eastAsia="仿宋" w:hAnsi="仿宋"/>
          <w:sz w:val="24"/>
          <w:szCs w:val="24"/>
        </w:rPr>
        <w:t>000</w:t>
      </w:r>
      <w:r w:rsidRPr="00745FA4">
        <w:rPr>
          <w:rFonts w:ascii="仿宋" w:eastAsia="仿宋" w:hAnsi="仿宋" w:hint="eastAsia"/>
          <w:sz w:val="24"/>
          <w:szCs w:val="24"/>
        </w:rPr>
        <w:t>下跌0</w:t>
      </w:r>
      <w:r w:rsidRPr="00745FA4">
        <w:rPr>
          <w:rFonts w:ascii="仿宋" w:eastAsia="仿宋" w:hAnsi="仿宋"/>
          <w:sz w:val="24"/>
          <w:szCs w:val="24"/>
        </w:rPr>
        <w:t>.7%</w:t>
      </w:r>
      <w:r w:rsidRPr="00745FA4">
        <w:rPr>
          <w:rFonts w:ascii="仿宋" w:eastAsia="仿宋" w:hAnsi="仿宋" w:hint="eastAsia"/>
          <w:sz w:val="24"/>
          <w:szCs w:val="24"/>
        </w:rPr>
        <w:t>，跌幅居前。从行业板块看，上周</w:t>
      </w:r>
      <w:r w:rsidRPr="00745FA4">
        <w:rPr>
          <w:rFonts w:ascii="仿宋" w:eastAsia="仿宋" w:hAnsi="仿宋" w:hint="eastAsia"/>
          <w:b/>
          <w:bCs/>
          <w:color w:val="FF0000"/>
          <w:sz w:val="24"/>
          <w:szCs w:val="24"/>
        </w:rPr>
        <w:t>综合金融、房地产、石油石化、建筑</w:t>
      </w:r>
      <w:r w:rsidRPr="00745FA4">
        <w:rPr>
          <w:rFonts w:ascii="仿宋" w:eastAsia="仿宋" w:hAnsi="仿宋" w:hint="eastAsia"/>
          <w:sz w:val="24"/>
          <w:szCs w:val="24"/>
        </w:rPr>
        <w:t>领涨，</w:t>
      </w:r>
      <w:r w:rsidRPr="00745FA4">
        <w:rPr>
          <w:rFonts w:ascii="仿宋" w:eastAsia="仿宋" w:hAnsi="仿宋" w:hint="eastAsia"/>
          <w:color w:val="00B050"/>
          <w:sz w:val="24"/>
          <w:szCs w:val="24"/>
        </w:rPr>
        <w:t>电子、医药、电新、</w:t>
      </w:r>
      <w:proofErr w:type="gramStart"/>
      <w:r w:rsidRPr="00745FA4">
        <w:rPr>
          <w:rFonts w:ascii="仿宋" w:eastAsia="仿宋" w:hAnsi="仿宋" w:hint="eastAsia"/>
          <w:color w:val="00B050"/>
          <w:sz w:val="24"/>
          <w:szCs w:val="24"/>
        </w:rPr>
        <w:t>纺服</w:t>
      </w:r>
      <w:r w:rsidRPr="00745FA4">
        <w:rPr>
          <w:rFonts w:ascii="仿宋" w:eastAsia="仿宋" w:hAnsi="仿宋" w:hint="eastAsia"/>
          <w:sz w:val="24"/>
          <w:szCs w:val="24"/>
        </w:rPr>
        <w:t>跌幅</w:t>
      </w:r>
      <w:proofErr w:type="gramEnd"/>
      <w:r w:rsidRPr="00745FA4">
        <w:rPr>
          <w:rFonts w:ascii="仿宋" w:eastAsia="仿宋" w:hAnsi="仿宋" w:hint="eastAsia"/>
          <w:sz w:val="24"/>
          <w:szCs w:val="24"/>
        </w:rPr>
        <w:t>较大。</w:t>
      </w:r>
      <w:bookmarkEnd w:id="0"/>
    </w:p>
    <w:p w14:paraId="63A6EBE6" w14:textId="587CC0A8" w:rsidR="0033449E" w:rsidRPr="00F608B1" w:rsidRDefault="0033449E" w:rsidP="0033449E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lastRenderedPageBreak/>
        <w:drawing>
          <wp:anchor distT="0" distB="0" distL="114300" distR="114300" simplePos="0" relativeHeight="251734016" behindDoc="0" locked="0" layoutInCell="1" allowOverlap="1" wp14:anchorId="4C1970D4" wp14:editId="5CDEC20B">
            <wp:simplePos x="0" y="0"/>
            <wp:positionH relativeFrom="column">
              <wp:posOffset>618744</wp:posOffset>
            </wp:positionH>
            <wp:positionV relativeFrom="paragraph">
              <wp:posOffset>409829</wp:posOffset>
            </wp:positionV>
            <wp:extent cx="5066030" cy="2327910"/>
            <wp:effectExtent l="0" t="0" r="1270" b="0"/>
            <wp:wrapTopAndBottom/>
            <wp:docPr id="2062607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232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F1A">
        <w:rPr>
          <w:rFonts w:ascii="黑体" w:eastAsia="黑体" w:hAnsi="黑体" w:hint="eastAsia"/>
          <w:szCs w:val="21"/>
        </w:rPr>
        <w:t>图：上周A</w:t>
      </w:r>
      <w:proofErr w:type="gramStart"/>
      <w:r w:rsidR="00253F1A">
        <w:rPr>
          <w:rFonts w:ascii="黑体" w:eastAsia="黑体" w:hAnsi="黑体" w:hint="eastAsia"/>
          <w:szCs w:val="21"/>
        </w:rPr>
        <w:t>股宽基指数</w:t>
      </w:r>
      <w:proofErr w:type="gramEnd"/>
      <w:r w:rsidR="00253F1A">
        <w:rPr>
          <w:rFonts w:ascii="黑体" w:eastAsia="黑体" w:hAnsi="黑体" w:hint="eastAsia"/>
          <w:szCs w:val="21"/>
        </w:rPr>
        <w:t>涨跌幅</w:t>
      </w:r>
    </w:p>
    <w:p w14:paraId="6EB4B7B8" w14:textId="4B1A1905" w:rsidR="00253F1A" w:rsidRPr="00097795" w:rsidRDefault="00253F1A" w:rsidP="00253F1A">
      <w:pPr>
        <w:spacing w:line="360" w:lineRule="auto"/>
        <w:ind w:firstLineChars="400" w:firstLine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p w14:paraId="5EF8AFF7" w14:textId="77777777" w:rsidR="00253F1A" w:rsidRDefault="00253F1A" w:rsidP="00253F1A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2、权益市场估值</w:t>
      </w:r>
    </w:p>
    <w:p w14:paraId="05838CAC" w14:textId="77777777" w:rsidR="00253F1A" w:rsidRDefault="00253F1A" w:rsidP="00253F1A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图：上周A股市</w:t>
      </w:r>
      <w:proofErr w:type="gramStart"/>
      <w:r>
        <w:rPr>
          <w:rFonts w:ascii="黑体" w:eastAsia="黑体" w:hAnsi="黑体" w:hint="eastAsia"/>
          <w:szCs w:val="21"/>
        </w:rPr>
        <w:t>场宽基指数</w:t>
      </w:r>
      <w:proofErr w:type="gramEnd"/>
      <w:r>
        <w:rPr>
          <w:rFonts w:ascii="黑体" w:eastAsia="黑体" w:hAnsi="黑体" w:hint="eastAsia"/>
          <w:szCs w:val="21"/>
        </w:rPr>
        <w:t>PE（TTM）</w:t>
      </w:r>
    </w:p>
    <w:p w14:paraId="22B85237" w14:textId="2AA3F9D0" w:rsidR="00253F1A" w:rsidRPr="005736E6" w:rsidRDefault="0033449E" w:rsidP="00253F1A">
      <w:pPr>
        <w:spacing w:line="360" w:lineRule="auto"/>
        <w:jc w:val="center"/>
        <w:rPr>
          <w:rFonts w:ascii="黑体" w:eastAsia="黑体" w:hAnsi="黑体"/>
          <w:szCs w:val="21"/>
        </w:rPr>
      </w:pPr>
      <w:r w:rsidRPr="0033449E">
        <w:rPr>
          <w:noProof/>
        </w:rPr>
        <w:drawing>
          <wp:inline distT="0" distB="0" distL="0" distR="0" wp14:anchorId="2B9011E4" wp14:editId="47080256">
            <wp:extent cx="6188710" cy="1369695"/>
            <wp:effectExtent l="0" t="0" r="2540" b="1905"/>
            <wp:docPr id="183802127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6D682" w14:textId="77777777" w:rsidR="00253F1A" w:rsidRPr="00097795" w:rsidRDefault="00253F1A" w:rsidP="00253F1A">
      <w:pPr>
        <w:spacing w:line="360" w:lineRule="auto"/>
        <w:ind w:firstLineChars="400" w:firstLine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p w14:paraId="16CFFA7E" w14:textId="77777777" w:rsidR="00253F1A" w:rsidRDefault="00253F1A" w:rsidP="00253F1A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图：上周A股市场中信</w:t>
      </w:r>
      <w:proofErr w:type="gramStart"/>
      <w:r>
        <w:rPr>
          <w:rFonts w:ascii="黑体" w:eastAsia="黑体" w:hAnsi="黑体" w:hint="eastAsia"/>
          <w:szCs w:val="21"/>
        </w:rPr>
        <w:t>一级行业</w:t>
      </w:r>
      <w:proofErr w:type="gramEnd"/>
      <w:r>
        <w:rPr>
          <w:rFonts w:ascii="黑体" w:eastAsia="黑体" w:hAnsi="黑体" w:hint="eastAsia"/>
          <w:szCs w:val="21"/>
        </w:rPr>
        <w:t>PE（TTM）</w:t>
      </w:r>
    </w:p>
    <w:p w14:paraId="43C96F44" w14:textId="4BF842B9" w:rsidR="00253F1A" w:rsidRPr="007A440A" w:rsidRDefault="0033449E" w:rsidP="00253F1A">
      <w:pPr>
        <w:spacing w:line="360" w:lineRule="auto"/>
        <w:jc w:val="center"/>
        <w:rPr>
          <w:rFonts w:ascii="黑体" w:eastAsia="黑体" w:hAnsi="黑体"/>
          <w:szCs w:val="21"/>
        </w:rPr>
      </w:pPr>
      <w:r w:rsidRPr="0033449E">
        <w:rPr>
          <w:noProof/>
        </w:rPr>
        <w:lastRenderedPageBreak/>
        <w:drawing>
          <wp:inline distT="0" distB="0" distL="0" distR="0" wp14:anchorId="09954AD5" wp14:editId="18213FC7">
            <wp:extent cx="6188710" cy="3931285"/>
            <wp:effectExtent l="0" t="0" r="2540" b="0"/>
            <wp:docPr id="9902839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93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E6616" w14:textId="77777777" w:rsidR="00253F1A" w:rsidRDefault="00253F1A" w:rsidP="00253F1A">
      <w:pPr>
        <w:spacing w:line="360" w:lineRule="auto"/>
        <w:ind w:firstLineChars="400" w:firstLine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p w14:paraId="205F206D" w14:textId="2B4A84C6" w:rsidR="00253F1A" w:rsidRDefault="00C50C88" w:rsidP="00253F1A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 w:rsidR="00F608B1">
        <w:rPr>
          <w:rFonts w:ascii="仿宋" w:eastAsia="仿宋" w:hAnsi="仿宋"/>
          <w:b/>
          <w:sz w:val="24"/>
          <w:szCs w:val="24"/>
        </w:rPr>
        <w:t>周</w:t>
      </w:r>
      <w:proofErr w:type="gramStart"/>
      <w:r w:rsidR="00F608B1">
        <w:rPr>
          <w:rFonts w:ascii="仿宋" w:eastAsia="仿宋" w:hAnsi="仿宋"/>
          <w:b/>
          <w:sz w:val="24"/>
          <w:szCs w:val="24"/>
        </w:rPr>
        <w:t>各宽基指数</w:t>
      </w:r>
      <w:proofErr w:type="gramEnd"/>
      <w:r w:rsidR="00F608B1">
        <w:rPr>
          <w:rFonts w:ascii="仿宋" w:eastAsia="仿宋" w:hAnsi="仿宋"/>
          <w:b/>
          <w:sz w:val="24"/>
          <w:szCs w:val="24"/>
        </w:rPr>
        <w:t>估值</w:t>
      </w:r>
      <w:r w:rsidR="00F608B1">
        <w:rPr>
          <w:rFonts w:ascii="仿宋" w:eastAsia="仿宋" w:hAnsi="仿宋" w:hint="eastAsia"/>
          <w:b/>
          <w:sz w:val="24"/>
          <w:szCs w:val="24"/>
        </w:rPr>
        <w:t>多数上涨，</w:t>
      </w:r>
      <w:proofErr w:type="gramStart"/>
      <w:r w:rsidR="0033449E">
        <w:rPr>
          <w:rFonts w:ascii="仿宋" w:eastAsia="仿宋" w:hAnsi="仿宋" w:hint="eastAsia"/>
          <w:b/>
          <w:sz w:val="24"/>
          <w:szCs w:val="24"/>
        </w:rPr>
        <w:t>科创</w:t>
      </w:r>
      <w:proofErr w:type="gramEnd"/>
      <w:r w:rsidR="0033449E">
        <w:rPr>
          <w:rFonts w:ascii="仿宋" w:eastAsia="仿宋" w:hAnsi="仿宋" w:hint="eastAsia"/>
          <w:b/>
          <w:sz w:val="24"/>
          <w:szCs w:val="24"/>
        </w:rPr>
        <w:t>5</w:t>
      </w:r>
      <w:r w:rsidR="0033449E">
        <w:rPr>
          <w:rFonts w:ascii="仿宋" w:eastAsia="仿宋" w:hAnsi="仿宋"/>
          <w:b/>
          <w:sz w:val="24"/>
          <w:szCs w:val="24"/>
        </w:rPr>
        <w:t>0</w:t>
      </w:r>
      <w:r w:rsidR="00F608B1">
        <w:rPr>
          <w:rFonts w:ascii="仿宋" w:eastAsia="仿宋" w:hAnsi="仿宋" w:hint="eastAsia"/>
          <w:b/>
          <w:sz w:val="24"/>
          <w:szCs w:val="24"/>
        </w:rPr>
        <w:t>上行</w:t>
      </w:r>
      <w:r w:rsidR="00F608B1">
        <w:rPr>
          <w:rFonts w:ascii="仿宋" w:eastAsia="仿宋" w:hAnsi="仿宋"/>
          <w:b/>
          <w:sz w:val="24"/>
          <w:szCs w:val="24"/>
        </w:rPr>
        <w:t>较多</w:t>
      </w:r>
      <w:r w:rsidR="00F608B1">
        <w:rPr>
          <w:rFonts w:ascii="仿宋" w:eastAsia="仿宋" w:hAnsi="仿宋" w:hint="eastAsia"/>
          <w:sz w:val="24"/>
          <w:szCs w:val="24"/>
        </w:rPr>
        <w:t>。</w:t>
      </w:r>
      <w:r w:rsidR="00F608B1">
        <w:rPr>
          <w:rFonts w:ascii="仿宋" w:eastAsia="仿宋" w:hAnsi="仿宋"/>
          <w:sz w:val="24"/>
          <w:szCs w:val="24"/>
        </w:rPr>
        <w:t>当前各</w:t>
      </w:r>
      <w:proofErr w:type="gramStart"/>
      <w:r w:rsidR="00F608B1">
        <w:rPr>
          <w:rFonts w:ascii="仿宋" w:eastAsia="仿宋" w:hAnsi="仿宋"/>
          <w:sz w:val="24"/>
          <w:szCs w:val="24"/>
        </w:rPr>
        <w:t>主要宽基指数</w:t>
      </w:r>
      <w:proofErr w:type="gramEnd"/>
      <w:r w:rsidR="00F608B1">
        <w:rPr>
          <w:rFonts w:ascii="仿宋" w:eastAsia="仿宋" w:hAnsi="仿宋"/>
          <w:sz w:val="24"/>
          <w:szCs w:val="24"/>
        </w:rPr>
        <w:t>估值水平</w:t>
      </w:r>
      <w:r w:rsidR="00F608B1">
        <w:rPr>
          <w:rFonts w:ascii="仿宋" w:eastAsia="仿宋" w:hAnsi="仿宋" w:hint="eastAsia"/>
          <w:sz w:val="24"/>
          <w:szCs w:val="24"/>
        </w:rPr>
        <w:t>全</w:t>
      </w:r>
      <w:r w:rsidR="00F608B1">
        <w:rPr>
          <w:rFonts w:ascii="仿宋" w:eastAsia="仿宋" w:hAnsi="仿宋"/>
          <w:sz w:val="24"/>
          <w:szCs w:val="24"/>
        </w:rPr>
        <w:t>都在历史50</w:t>
      </w:r>
      <w:r w:rsidR="00F608B1">
        <w:rPr>
          <w:rFonts w:ascii="仿宋" w:eastAsia="仿宋" w:hAnsi="仿宋" w:hint="eastAsia"/>
          <w:sz w:val="24"/>
          <w:szCs w:val="24"/>
        </w:rPr>
        <w:t>%</w:t>
      </w:r>
      <w:r w:rsidR="00F608B1">
        <w:rPr>
          <w:rFonts w:ascii="仿宋" w:eastAsia="仿宋" w:hAnsi="仿宋"/>
          <w:sz w:val="24"/>
          <w:szCs w:val="24"/>
        </w:rPr>
        <w:t>分位数以下</w:t>
      </w:r>
      <w:r w:rsidR="00F608B1">
        <w:rPr>
          <w:rFonts w:ascii="仿宋" w:eastAsia="仿宋" w:hAnsi="仿宋" w:hint="eastAsia"/>
          <w:sz w:val="24"/>
          <w:szCs w:val="24"/>
        </w:rPr>
        <w:t>，</w:t>
      </w:r>
      <w:r w:rsidR="00F608B1">
        <w:rPr>
          <w:rFonts w:ascii="仿宋" w:eastAsia="仿宋" w:hAnsi="仿宋"/>
          <w:sz w:val="24"/>
          <w:szCs w:val="24"/>
        </w:rPr>
        <w:t>未来仍有一定估值提升空间</w:t>
      </w:r>
      <w:r w:rsidR="00F608B1">
        <w:rPr>
          <w:rFonts w:ascii="仿宋" w:eastAsia="仿宋" w:hAnsi="仿宋" w:hint="eastAsia"/>
          <w:sz w:val="24"/>
          <w:szCs w:val="24"/>
        </w:rPr>
        <w:t>。</w:t>
      </w:r>
      <w:r w:rsidR="00F608B1" w:rsidRPr="00A85526">
        <w:rPr>
          <w:rFonts w:ascii="仿宋" w:eastAsia="仿宋" w:hAnsi="仿宋"/>
          <w:sz w:val="24"/>
          <w:szCs w:val="24"/>
        </w:rPr>
        <w:t>从</w:t>
      </w:r>
      <w:r w:rsidR="00F608B1" w:rsidRPr="00A85526">
        <w:rPr>
          <w:rFonts w:ascii="仿宋" w:eastAsia="仿宋" w:hAnsi="仿宋" w:hint="eastAsia"/>
          <w:sz w:val="24"/>
          <w:szCs w:val="24"/>
        </w:rPr>
        <w:t>行业</w:t>
      </w:r>
      <w:r w:rsidR="00F608B1" w:rsidRPr="00A85526">
        <w:rPr>
          <w:rFonts w:ascii="仿宋" w:eastAsia="仿宋" w:hAnsi="仿宋"/>
          <w:sz w:val="24"/>
          <w:szCs w:val="24"/>
        </w:rPr>
        <w:t>板块看</w:t>
      </w:r>
      <w:r w:rsidR="00F608B1" w:rsidRPr="00A85526">
        <w:rPr>
          <w:rFonts w:ascii="仿宋" w:eastAsia="仿宋" w:hAnsi="仿宋" w:hint="eastAsia"/>
          <w:sz w:val="24"/>
          <w:szCs w:val="24"/>
        </w:rPr>
        <w:t>，上</w:t>
      </w:r>
      <w:r w:rsidR="00F608B1" w:rsidRPr="005C5B6B">
        <w:rPr>
          <w:rFonts w:ascii="仿宋" w:eastAsia="仿宋" w:hAnsi="仿宋"/>
          <w:sz w:val="24"/>
          <w:szCs w:val="24"/>
        </w:rPr>
        <w:t>周</w:t>
      </w:r>
      <w:r w:rsidR="006B5638">
        <w:rPr>
          <w:rFonts w:ascii="仿宋" w:eastAsia="仿宋" w:hAnsi="仿宋" w:hint="eastAsia"/>
          <w:b/>
          <w:color w:val="00B050"/>
          <w:sz w:val="24"/>
          <w:szCs w:val="24"/>
        </w:rPr>
        <w:t>传媒</w:t>
      </w:r>
      <w:r w:rsidR="00F608B1">
        <w:rPr>
          <w:rFonts w:ascii="仿宋" w:eastAsia="仿宋" w:hAnsi="仿宋" w:hint="eastAsia"/>
          <w:b/>
          <w:color w:val="00B050"/>
          <w:sz w:val="24"/>
          <w:szCs w:val="24"/>
        </w:rPr>
        <w:t>、</w:t>
      </w:r>
      <w:r w:rsidR="00F608B1" w:rsidRPr="006F3915">
        <w:rPr>
          <w:rFonts w:ascii="仿宋" w:eastAsia="仿宋" w:hAnsi="仿宋" w:hint="eastAsia"/>
          <w:b/>
          <w:color w:val="00B050"/>
          <w:sz w:val="24"/>
          <w:szCs w:val="24"/>
        </w:rPr>
        <w:t>综合金融</w:t>
      </w:r>
      <w:r w:rsidR="006B5638">
        <w:rPr>
          <w:rFonts w:ascii="仿宋" w:eastAsia="仿宋" w:hAnsi="仿宋" w:hint="eastAsia"/>
          <w:b/>
          <w:color w:val="00B050"/>
          <w:sz w:val="24"/>
          <w:szCs w:val="24"/>
        </w:rPr>
        <w:t>、</w:t>
      </w:r>
      <w:r w:rsidR="0033449E">
        <w:rPr>
          <w:rFonts w:ascii="仿宋" w:eastAsia="仿宋" w:hAnsi="仿宋" w:hint="eastAsia"/>
          <w:b/>
          <w:color w:val="00B050"/>
          <w:sz w:val="24"/>
          <w:szCs w:val="24"/>
        </w:rPr>
        <w:t>电子、</w:t>
      </w:r>
      <w:r w:rsidR="006B5638">
        <w:rPr>
          <w:rFonts w:ascii="仿宋" w:eastAsia="仿宋" w:hAnsi="仿宋" w:hint="eastAsia"/>
          <w:b/>
          <w:color w:val="00B050"/>
          <w:sz w:val="24"/>
          <w:szCs w:val="24"/>
        </w:rPr>
        <w:t>钢铁、</w:t>
      </w:r>
      <w:r w:rsidR="0033449E">
        <w:rPr>
          <w:rFonts w:ascii="仿宋" w:eastAsia="仿宋" w:hAnsi="仿宋" w:hint="eastAsia"/>
          <w:b/>
          <w:color w:val="00B050"/>
          <w:sz w:val="24"/>
          <w:szCs w:val="24"/>
        </w:rPr>
        <w:t>建材</w:t>
      </w:r>
      <w:r w:rsidR="00F608B1">
        <w:rPr>
          <w:rFonts w:ascii="仿宋" w:eastAsia="仿宋" w:hAnsi="仿宋" w:hint="eastAsia"/>
          <w:sz w:val="24"/>
          <w:szCs w:val="24"/>
        </w:rPr>
        <w:t>上行最多，</w:t>
      </w:r>
      <w:r w:rsidR="006B5638" w:rsidRPr="006B5638">
        <w:rPr>
          <w:rFonts w:ascii="仿宋" w:eastAsia="仿宋" w:hAnsi="仿宋" w:hint="eastAsia"/>
          <w:b/>
          <w:bCs/>
          <w:color w:val="FF0000"/>
          <w:sz w:val="24"/>
          <w:szCs w:val="24"/>
        </w:rPr>
        <w:t>电力及公用事业</w:t>
      </w:r>
      <w:r w:rsidR="00F608B1" w:rsidRPr="00E97E88">
        <w:rPr>
          <w:rFonts w:ascii="仿宋" w:eastAsia="仿宋" w:hAnsi="仿宋" w:hint="eastAsia"/>
          <w:b/>
          <w:bCs/>
          <w:color w:val="FF0000"/>
          <w:sz w:val="24"/>
          <w:szCs w:val="24"/>
        </w:rPr>
        <w:t>、</w:t>
      </w:r>
      <w:r w:rsidR="006B5638">
        <w:rPr>
          <w:rFonts w:ascii="仿宋" w:eastAsia="仿宋" w:hAnsi="仿宋" w:hint="eastAsia"/>
          <w:b/>
          <w:bCs/>
          <w:color w:val="FF0000"/>
          <w:sz w:val="24"/>
          <w:szCs w:val="24"/>
        </w:rPr>
        <w:t>电新、汽车</w:t>
      </w:r>
      <w:r w:rsidR="00F608B1" w:rsidRPr="00E97E88">
        <w:rPr>
          <w:rFonts w:ascii="仿宋" w:eastAsia="仿宋" w:hAnsi="仿宋" w:hint="eastAsia"/>
          <w:b/>
          <w:bCs/>
          <w:color w:val="FF0000"/>
          <w:sz w:val="24"/>
          <w:szCs w:val="24"/>
        </w:rPr>
        <w:t>、</w:t>
      </w:r>
      <w:r w:rsidR="006B5638">
        <w:rPr>
          <w:rFonts w:ascii="仿宋" w:eastAsia="仿宋" w:hAnsi="仿宋" w:hint="eastAsia"/>
          <w:b/>
          <w:bCs/>
          <w:color w:val="FF0000"/>
          <w:sz w:val="24"/>
          <w:szCs w:val="24"/>
        </w:rPr>
        <w:t>食品饮料、机械</w:t>
      </w:r>
      <w:r w:rsidR="00F608B1">
        <w:rPr>
          <w:rFonts w:ascii="仿宋" w:eastAsia="仿宋" w:hAnsi="仿宋" w:hint="eastAsia"/>
          <w:sz w:val="24"/>
          <w:szCs w:val="24"/>
        </w:rPr>
        <w:t>下行最多</w:t>
      </w:r>
      <w:r w:rsidR="00F608B1" w:rsidRPr="00A85526">
        <w:rPr>
          <w:rFonts w:ascii="仿宋" w:eastAsia="仿宋" w:hAnsi="仿宋" w:hint="eastAsia"/>
          <w:sz w:val="24"/>
          <w:szCs w:val="24"/>
        </w:rPr>
        <w:t>。</w:t>
      </w:r>
      <w:r w:rsidR="00F608B1" w:rsidRPr="00C647E5">
        <w:rPr>
          <w:rFonts w:ascii="仿宋" w:eastAsia="仿宋" w:hAnsi="仿宋" w:hint="eastAsia"/>
          <w:sz w:val="24"/>
          <w:szCs w:val="24"/>
        </w:rPr>
        <w:t>当前</w:t>
      </w:r>
      <w:r w:rsidR="00F608B1" w:rsidRPr="006F3915">
        <w:rPr>
          <w:rFonts w:ascii="仿宋" w:eastAsia="仿宋" w:hAnsi="仿宋" w:hint="eastAsia"/>
          <w:b/>
          <w:color w:val="00B050"/>
          <w:sz w:val="24"/>
          <w:szCs w:val="24"/>
        </w:rPr>
        <w:t>传媒、计算机、</w:t>
      </w:r>
      <w:r w:rsidR="0033449E">
        <w:rPr>
          <w:rFonts w:ascii="仿宋" w:eastAsia="仿宋" w:hAnsi="仿宋" w:hint="eastAsia"/>
          <w:b/>
          <w:color w:val="00B050"/>
          <w:sz w:val="24"/>
          <w:szCs w:val="24"/>
        </w:rPr>
        <w:t>综合金融、</w:t>
      </w:r>
      <w:r w:rsidR="00F608B1" w:rsidRPr="00EE26E5">
        <w:rPr>
          <w:rFonts w:ascii="仿宋" w:eastAsia="仿宋" w:hAnsi="仿宋" w:hint="eastAsia"/>
          <w:b/>
          <w:color w:val="00B050"/>
          <w:sz w:val="24"/>
          <w:szCs w:val="24"/>
        </w:rPr>
        <w:t>电子</w:t>
      </w:r>
      <w:r w:rsidR="00F608B1">
        <w:rPr>
          <w:rFonts w:ascii="仿宋" w:eastAsia="仿宋" w:hAnsi="仿宋" w:hint="eastAsia"/>
          <w:b/>
          <w:color w:val="00B050"/>
          <w:sz w:val="24"/>
          <w:szCs w:val="24"/>
        </w:rPr>
        <w:t>、国防军</w:t>
      </w:r>
      <w:proofErr w:type="gramStart"/>
      <w:r w:rsidR="00F608B1">
        <w:rPr>
          <w:rFonts w:ascii="仿宋" w:eastAsia="仿宋" w:hAnsi="仿宋" w:hint="eastAsia"/>
          <w:b/>
          <w:color w:val="00B050"/>
          <w:sz w:val="24"/>
          <w:szCs w:val="24"/>
        </w:rPr>
        <w:t>工</w:t>
      </w:r>
      <w:r w:rsidR="00F608B1" w:rsidRPr="00C647E5">
        <w:rPr>
          <w:rFonts w:ascii="仿宋" w:eastAsia="仿宋" w:hAnsi="仿宋" w:hint="eastAsia"/>
          <w:sz w:val="24"/>
          <w:szCs w:val="24"/>
        </w:rPr>
        <w:t>板块</w:t>
      </w:r>
      <w:proofErr w:type="gramEnd"/>
      <w:r w:rsidR="00F608B1" w:rsidRPr="00C647E5">
        <w:rPr>
          <w:rFonts w:ascii="仿宋" w:eastAsia="仿宋" w:hAnsi="仿宋" w:hint="eastAsia"/>
          <w:sz w:val="24"/>
          <w:szCs w:val="24"/>
        </w:rPr>
        <w:t>估值处于历史较高水平；</w:t>
      </w:r>
      <w:r w:rsidR="00F608B1">
        <w:rPr>
          <w:rFonts w:ascii="仿宋" w:eastAsia="仿宋" w:hAnsi="仿宋" w:hint="eastAsia"/>
          <w:b/>
          <w:bCs/>
          <w:color w:val="FF0000"/>
          <w:sz w:val="24"/>
          <w:szCs w:val="24"/>
        </w:rPr>
        <w:t>银行、建筑、煤炭、</w:t>
      </w:r>
      <w:r w:rsidR="00F608B1" w:rsidRPr="00393A53">
        <w:rPr>
          <w:rFonts w:ascii="仿宋" w:eastAsia="仿宋" w:hAnsi="仿宋" w:hint="eastAsia"/>
          <w:b/>
          <w:bCs/>
          <w:color w:val="FF0000"/>
          <w:sz w:val="24"/>
          <w:szCs w:val="24"/>
        </w:rPr>
        <w:t>石油石化、</w:t>
      </w:r>
      <w:r w:rsidR="00F608B1">
        <w:rPr>
          <w:rFonts w:ascii="仿宋" w:eastAsia="仿宋" w:hAnsi="仿宋" w:hint="eastAsia"/>
          <w:b/>
          <w:bCs/>
          <w:color w:val="FF0000"/>
          <w:sz w:val="24"/>
          <w:szCs w:val="24"/>
        </w:rPr>
        <w:t>家电</w:t>
      </w:r>
      <w:r w:rsidR="00F608B1" w:rsidRPr="00C647E5">
        <w:rPr>
          <w:rFonts w:ascii="仿宋" w:eastAsia="仿宋" w:hAnsi="仿宋" w:hint="eastAsia"/>
          <w:sz w:val="24"/>
          <w:szCs w:val="24"/>
        </w:rPr>
        <w:t>板块估值处于历史较低水平</w:t>
      </w:r>
      <w:r w:rsidR="00253F1A" w:rsidRPr="00C647E5">
        <w:rPr>
          <w:rFonts w:ascii="仿宋" w:eastAsia="仿宋" w:hAnsi="仿宋" w:hint="eastAsia"/>
          <w:sz w:val="24"/>
          <w:szCs w:val="24"/>
        </w:rPr>
        <w:t>。</w:t>
      </w:r>
    </w:p>
    <w:p w14:paraId="0F791F72" w14:textId="7AFC2C23" w:rsidR="00253F1A" w:rsidRPr="00253F1A" w:rsidRDefault="00253F1A" w:rsidP="00253F1A">
      <w:pPr>
        <w:spacing w:line="360" w:lineRule="auto"/>
        <w:ind w:firstLine="480"/>
        <w:rPr>
          <w:rFonts w:ascii="仿宋" w:eastAsia="仿宋" w:hAnsi="仿宋"/>
          <w:b/>
          <w:sz w:val="24"/>
          <w:szCs w:val="24"/>
        </w:rPr>
      </w:pPr>
      <w:r w:rsidRPr="00253F1A">
        <w:rPr>
          <w:rFonts w:ascii="仿宋" w:eastAsia="仿宋" w:hAnsi="仿宋" w:hint="eastAsia"/>
          <w:b/>
          <w:sz w:val="24"/>
          <w:szCs w:val="24"/>
        </w:rPr>
        <w:t>3、权益市场情绪</w:t>
      </w:r>
    </w:p>
    <w:p w14:paraId="0B1958E5" w14:textId="087075D9" w:rsidR="00745FA4" w:rsidRPr="00745FA4" w:rsidRDefault="00745FA4" w:rsidP="00745FA4">
      <w:pPr>
        <w:spacing w:line="360" w:lineRule="auto"/>
        <w:ind w:firstLine="480"/>
        <w:rPr>
          <w:rFonts w:ascii="仿宋" w:eastAsia="仿宋" w:hAnsi="仿宋"/>
          <w:bCs/>
          <w:sz w:val="24"/>
          <w:szCs w:val="24"/>
        </w:rPr>
      </w:pPr>
      <w:r w:rsidRPr="00745FA4">
        <w:rPr>
          <w:rFonts w:ascii="仿宋" w:eastAsia="仿宋" w:hAnsi="仿宋" w:hint="eastAsia"/>
          <w:bCs/>
          <w:sz w:val="24"/>
          <w:szCs w:val="24"/>
        </w:rPr>
        <w:t>上周量化模型的信号为“中性偏多”。从全A换手率的角度看，</w:t>
      </w:r>
      <w:r w:rsidR="00B257A4">
        <w:rPr>
          <w:rFonts w:ascii="仿宋" w:eastAsia="仿宋" w:hAnsi="仿宋" w:hint="eastAsia"/>
          <w:bCs/>
          <w:sz w:val="24"/>
          <w:szCs w:val="24"/>
        </w:rPr>
        <w:t>上</w:t>
      </w:r>
      <w:r w:rsidRPr="00745FA4">
        <w:rPr>
          <w:rFonts w:ascii="仿宋" w:eastAsia="仿宋" w:hAnsi="仿宋" w:hint="eastAsia"/>
          <w:bCs/>
          <w:sz w:val="24"/>
          <w:szCs w:val="24"/>
        </w:rPr>
        <w:t>周市场放量上行。从行业拥挤度的角度，消费者服务，机械，传媒行业的拥挤度较高。</w:t>
      </w:r>
    </w:p>
    <w:p w14:paraId="4D83D698" w14:textId="667412FE" w:rsidR="007A20BA" w:rsidRPr="007A20BA" w:rsidRDefault="00745FA4" w:rsidP="00745FA4">
      <w:pPr>
        <w:spacing w:line="360" w:lineRule="auto"/>
        <w:ind w:firstLine="480"/>
        <w:rPr>
          <w:rFonts w:ascii="仿宋" w:eastAsia="仿宋" w:hAnsi="仿宋"/>
          <w:bCs/>
          <w:sz w:val="24"/>
          <w:szCs w:val="24"/>
        </w:rPr>
      </w:pPr>
      <w:r w:rsidRPr="00745FA4">
        <w:rPr>
          <w:rFonts w:ascii="仿宋" w:eastAsia="仿宋" w:hAnsi="仿宋" w:hint="eastAsia"/>
          <w:bCs/>
          <w:sz w:val="24"/>
          <w:szCs w:val="24"/>
        </w:rPr>
        <w:t>从</w:t>
      </w:r>
      <w:proofErr w:type="gramStart"/>
      <w:r w:rsidRPr="00745FA4">
        <w:rPr>
          <w:rFonts w:ascii="仿宋" w:eastAsia="仿宋" w:hAnsi="仿宋" w:hint="eastAsia"/>
          <w:bCs/>
          <w:sz w:val="24"/>
          <w:szCs w:val="24"/>
        </w:rPr>
        <w:t>股债性价</w:t>
      </w:r>
      <w:proofErr w:type="gramEnd"/>
      <w:r w:rsidRPr="00745FA4">
        <w:rPr>
          <w:rFonts w:ascii="仿宋" w:eastAsia="仿宋" w:hAnsi="仿宋" w:hint="eastAsia"/>
          <w:bCs/>
          <w:sz w:val="24"/>
          <w:szCs w:val="24"/>
        </w:rPr>
        <w:t>比大周期的角度，目前权益</w:t>
      </w:r>
      <w:proofErr w:type="gramStart"/>
      <w:r w:rsidRPr="00745FA4">
        <w:rPr>
          <w:rFonts w:ascii="仿宋" w:eastAsia="仿宋" w:hAnsi="仿宋" w:hint="eastAsia"/>
          <w:bCs/>
          <w:sz w:val="24"/>
          <w:szCs w:val="24"/>
        </w:rPr>
        <w:t>相对固收的</w:t>
      </w:r>
      <w:proofErr w:type="gramEnd"/>
      <w:r w:rsidRPr="00745FA4">
        <w:rPr>
          <w:rFonts w:ascii="仿宋" w:eastAsia="仿宋" w:hAnsi="仿宋" w:hint="eastAsia"/>
          <w:bCs/>
          <w:sz w:val="24"/>
          <w:szCs w:val="24"/>
        </w:rPr>
        <w:t>风险溢价为6.75%，处于历史98.5%的分位数，所以从此时点看，长期持有仍是好选择</w:t>
      </w:r>
      <w:r w:rsidR="007A20BA" w:rsidRPr="007A20BA">
        <w:rPr>
          <w:rFonts w:ascii="仿宋" w:eastAsia="仿宋" w:hAnsi="仿宋" w:hint="eastAsia"/>
          <w:bCs/>
          <w:sz w:val="24"/>
          <w:szCs w:val="24"/>
        </w:rPr>
        <w:t>。</w:t>
      </w:r>
    </w:p>
    <w:p w14:paraId="3B7C661A" w14:textId="29480BA6" w:rsidR="00253F1A" w:rsidRDefault="00745FA4" w:rsidP="00253F1A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lastRenderedPageBreak/>
        <w:drawing>
          <wp:anchor distT="0" distB="0" distL="114300" distR="114300" simplePos="0" relativeHeight="251736064" behindDoc="0" locked="0" layoutInCell="1" allowOverlap="1" wp14:anchorId="01B06CB0" wp14:editId="566B7368">
            <wp:simplePos x="0" y="0"/>
            <wp:positionH relativeFrom="column">
              <wp:posOffset>609600</wp:posOffset>
            </wp:positionH>
            <wp:positionV relativeFrom="paragraph">
              <wp:posOffset>493776</wp:posOffset>
            </wp:positionV>
            <wp:extent cx="5414010" cy="3249295"/>
            <wp:effectExtent l="0" t="0" r="0" b="8255"/>
            <wp:wrapTopAndBottom/>
            <wp:docPr id="15589955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F1A">
        <w:rPr>
          <w:rFonts w:ascii="黑体" w:eastAsia="黑体" w:hAnsi="黑体" w:hint="eastAsia"/>
          <w:szCs w:val="21"/>
        </w:rPr>
        <w:t>图：全市场换手率</w:t>
      </w:r>
    </w:p>
    <w:p w14:paraId="4ADB879F" w14:textId="34E790D7" w:rsidR="004A0EF5" w:rsidRPr="00253F1A" w:rsidRDefault="004A0EF5" w:rsidP="00253F1A">
      <w:pPr>
        <w:spacing w:line="360" w:lineRule="auto"/>
        <w:jc w:val="center"/>
        <w:rPr>
          <w:rFonts w:ascii="黑体" w:eastAsia="黑体" w:hAnsi="黑体"/>
          <w:szCs w:val="21"/>
        </w:rPr>
      </w:pPr>
    </w:p>
    <w:p w14:paraId="597F6072" w14:textId="3E3159CF" w:rsidR="00253F1A" w:rsidRDefault="00253F1A" w:rsidP="00253F1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p w14:paraId="58831D8E" w14:textId="397052F9" w:rsidR="00253F1A" w:rsidRDefault="00253F1A" w:rsidP="00253F1A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图：行业拥挤度分位数</w:t>
      </w:r>
    </w:p>
    <w:p w14:paraId="6BFCC197" w14:textId="17D1163B" w:rsidR="00BD416E" w:rsidRDefault="00745FA4" w:rsidP="00253F1A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anchor distT="0" distB="0" distL="114300" distR="114300" simplePos="0" relativeHeight="251737088" behindDoc="0" locked="0" layoutInCell="1" allowOverlap="1" wp14:anchorId="22C373B9" wp14:editId="2C8A52AB">
            <wp:simplePos x="0" y="0"/>
            <wp:positionH relativeFrom="column">
              <wp:posOffset>609600</wp:posOffset>
            </wp:positionH>
            <wp:positionV relativeFrom="paragraph">
              <wp:posOffset>292100</wp:posOffset>
            </wp:positionV>
            <wp:extent cx="5414010" cy="3249295"/>
            <wp:effectExtent l="0" t="0" r="0" b="8255"/>
            <wp:wrapTopAndBottom/>
            <wp:docPr id="9334915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DEB72" w14:textId="46F3374E" w:rsidR="004A0EF5" w:rsidRPr="00253F1A" w:rsidRDefault="004A0EF5" w:rsidP="007A20BA">
      <w:pPr>
        <w:spacing w:line="360" w:lineRule="auto"/>
        <w:jc w:val="center"/>
        <w:rPr>
          <w:rFonts w:ascii="黑体" w:eastAsia="黑体" w:hAnsi="黑体"/>
          <w:szCs w:val="21"/>
        </w:rPr>
      </w:pPr>
    </w:p>
    <w:p w14:paraId="3911BCDC" w14:textId="14FCD091" w:rsidR="00253F1A" w:rsidRPr="00024AB0" w:rsidRDefault="00253F1A" w:rsidP="00253F1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p w14:paraId="78870974" w14:textId="41DA8303" w:rsidR="00253F1A" w:rsidRDefault="00253F1A" w:rsidP="00253F1A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>
        <w:rPr>
          <w:rFonts w:ascii="黑体" w:eastAsia="黑体" w:hAnsi="黑体" w:hint="eastAsia"/>
          <w:szCs w:val="21"/>
        </w:rPr>
        <w:lastRenderedPageBreak/>
        <w:t>图：</w:t>
      </w:r>
      <w:proofErr w:type="gramStart"/>
      <w:r>
        <w:rPr>
          <w:rFonts w:ascii="黑体" w:eastAsia="黑体" w:hAnsi="黑体" w:hint="eastAsia"/>
          <w:szCs w:val="21"/>
        </w:rPr>
        <w:t>股债性价</w:t>
      </w:r>
      <w:proofErr w:type="gramEnd"/>
      <w:r>
        <w:rPr>
          <w:rFonts w:ascii="黑体" w:eastAsia="黑体" w:hAnsi="黑体" w:hint="eastAsia"/>
          <w:szCs w:val="21"/>
        </w:rPr>
        <w:t>比：沪深300与10年期国债</w:t>
      </w:r>
    </w:p>
    <w:p w14:paraId="6F82968E" w14:textId="1AED63EC" w:rsidR="00253F1A" w:rsidRPr="00745FA4" w:rsidRDefault="00745FA4" w:rsidP="00253F1A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2C1C3891" wp14:editId="4A48E97F">
            <wp:simplePos x="0" y="0"/>
            <wp:positionH relativeFrom="column">
              <wp:posOffset>755904</wp:posOffset>
            </wp:positionH>
            <wp:positionV relativeFrom="paragraph">
              <wp:posOffset>261620</wp:posOffset>
            </wp:positionV>
            <wp:extent cx="5285740" cy="2969260"/>
            <wp:effectExtent l="0" t="0" r="0" b="2540"/>
            <wp:wrapTopAndBottom/>
            <wp:docPr id="22649335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6C9AE" w14:textId="23245590" w:rsidR="00253F1A" w:rsidRDefault="00253F1A" w:rsidP="00253F1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p w14:paraId="6E042167" w14:textId="77777777" w:rsidR="00253F1A" w:rsidRDefault="00253F1A" w:rsidP="00253F1A">
      <w:pPr>
        <w:spacing w:line="360" w:lineRule="auto"/>
        <w:ind w:firstLine="480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4、权益市场资金</w:t>
      </w:r>
    </w:p>
    <w:p w14:paraId="2F825CBD" w14:textId="543711FC" w:rsidR="00253F1A" w:rsidRDefault="00F608B1" w:rsidP="00253F1A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上周</w:t>
      </w:r>
      <w:r w:rsidRPr="00986452">
        <w:rPr>
          <w:rFonts w:ascii="仿宋" w:eastAsia="仿宋" w:hAnsi="仿宋" w:hint="eastAsia"/>
          <w:b/>
          <w:sz w:val="24"/>
          <w:szCs w:val="24"/>
        </w:rPr>
        <w:t>北向资金</w:t>
      </w:r>
      <w:r w:rsidRPr="005B4EA7">
        <w:rPr>
          <w:rFonts w:ascii="仿宋" w:eastAsia="仿宋" w:hAnsi="仿宋" w:hint="eastAsia"/>
          <w:b/>
          <w:sz w:val="24"/>
          <w:szCs w:val="24"/>
        </w:rPr>
        <w:t>净流</w:t>
      </w:r>
      <w:r>
        <w:rPr>
          <w:rFonts w:ascii="仿宋" w:eastAsia="仿宋" w:hAnsi="仿宋" w:hint="eastAsia"/>
          <w:b/>
          <w:sz w:val="24"/>
          <w:szCs w:val="24"/>
        </w:rPr>
        <w:t>出</w:t>
      </w:r>
      <w:r w:rsidR="000A0712">
        <w:rPr>
          <w:rFonts w:ascii="仿宋" w:eastAsia="仿宋" w:hAnsi="仿宋"/>
          <w:b/>
          <w:sz w:val="24"/>
          <w:szCs w:val="24"/>
        </w:rPr>
        <w:t>123.45</w:t>
      </w:r>
      <w:r w:rsidRPr="005B4EA7">
        <w:rPr>
          <w:rFonts w:ascii="仿宋" w:eastAsia="仿宋" w:hAnsi="仿宋" w:hint="eastAsia"/>
          <w:b/>
          <w:sz w:val="24"/>
          <w:szCs w:val="24"/>
        </w:rPr>
        <w:t>亿元</w:t>
      </w:r>
      <w:r w:rsidRPr="005A3AC2">
        <w:rPr>
          <w:rFonts w:ascii="仿宋" w:eastAsia="仿宋" w:hAnsi="仿宋" w:hint="eastAsia"/>
          <w:b/>
          <w:sz w:val="24"/>
          <w:szCs w:val="24"/>
        </w:rPr>
        <w:t>，</w:t>
      </w:r>
      <w:r>
        <w:rPr>
          <w:rFonts w:ascii="仿宋" w:eastAsia="仿宋" w:hAnsi="仿宋" w:hint="eastAsia"/>
          <w:b/>
          <w:sz w:val="24"/>
          <w:szCs w:val="24"/>
        </w:rPr>
        <w:t>上</w:t>
      </w:r>
      <w:r w:rsidRPr="005A3AC2">
        <w:rPr>
          <w:rFonts w:ascii="仿宋" w:eastAsia="仿宋" w:hAnsi="仿宋" w:hint="eastAsia"/>
          <w:b/>
          <w:sz w:val="24"/>
          <w:szCs w:val="24"/>
        </w:rPr>
        <w:t>上周</w:t>
      </w:r>
      <w:r w:rsidRPr="005B4EA7">
        <w:rPr>
          <w:rFonts w:ascii="仿宋" w:eastAsia="仿宋" w:hAnsi="仿宋" w:hint="eastAsia"/>
          <w:b/>
          <w:sz w:val="24"/>
          <w:szCs w:val="24"/>
        </w:rPr>
        <w:t>净流</w:t>
      </w:r>
      <w:r>
        <w:rPr>
          <w:rFonts w:ascii="仿宋" w:eastAsia="仿宋" w:hAnsi="仿宋" w:hint="eastAsia"/>
          <w:b/>
          <w:sz w:val="24"/>
          <w:szCs w:val="24"/>
        </w:rPr>
        <w:t>出</w:t>
      </w:r>
      <w:r w:rsidR="000A0712">
        <w:rPr>
          <w:rFonts w:ascii="仿宋" w:eastAsia="仿宋" w:hAnsi="仿宋"/>
          <w:b/>
          <w:sz w:val="24"/>
          <w:szCs w:val="24"/>
        </w:rPr>
        <w:t>220.76</w:t>
      </w:r>
      <w:r w:rsidRPr="005B4EA7">
        <w:rPr>
          <w:rFonts w:ascii="仿宋" w:eastAsia="仿宋" w:hAnsi="仿宋" w:hint="eastAsia"/>
          <w:b/>
          <w:sz w:val="24"/>
          <w:szCs w:val="24"/>
        </w:rPr>
        <w:t>亿元</w:t>
      </w:r>
      <w:r w:rsidRPr="005A3AC2">
        <w:rPr>
          <w:rFonts w:ascii="仿宋" w:eastAsia="仿宋" w:hAnsi="仿宋" w:hint="eastAsia"/>
          <w:b/>
          <w:sz w:val="24"/>
          <w:szCs w:val="24"/>
        </w:rPr>
        <w:t>，</w:t>
      </w:r>
      <w:r w:rsidRPr="00AC046B">
        <w:rPr>
          <w:rFonts w:ascii="仿宋" w:eastAsia="仿宋" w:hAnsi="仿宋" w:hint="eastAsia"/>
          <w:b/>
          <w:sz w:val="24"/>
          <w:szCs w:val="24"/>
        </w:rPr>
        <w:t>最近一周北向资金</w:t>
      </w:r>
      <w:r>
        <w:rPr>
          <w:rFonts w:ascii="仿宋" w:eastAsia="仿宋" w:hAnsi="仿宋" w:hint="eastAsia"/>
          <w:b/>
          <w:sz w:val="24"/>
          <w:szCs w:val="24"/>
        </w:rPr>
        <w:t>净流出</w:t>
      </w:r>
      <w:r w:rsidR="00A93A04">
        <w:rPr>
          <w:rFonts w:ascii="仿宋" w:eastAsia="仿宋" w:hAnsi="仿宋" w:hint="eastAsia"/>
          <w:b/>
          <w:sz w:val="24"/>
          <w:szCs w:val="24"/>
        </w:rPr>
        <w:t>下降</w:t>
      </w:r>
      <w:r w:rsidRPr="005A3AC2">
        <w:rPr>
          <w:rFonts w:ascii="仿宋" w:eastAsia="仿宋" w:hAnsi="仿宋" w:hint="eastAsia"/>
          <w:b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上周</w:t>
      </w:r>
      <w:r w:rsidRPr="00933CC3">
        <w:rPr>
          <w:rFonts w:ascii="仿宋" w:eastAsia="仿宋" w:hAnsi="仿宋" w:hint="eastAsia"/>
          <w:sz w:val="24"/>
          <w:szCs w:val="24"/>
        </w:rPr>
        <w:t>增</w:t>
      </w:r>
      <w:proofErr w:type="gramStart"/>
      <w:r w:rsidRPr="00933CC3">
        <w:rPr>
          <w:rFonts w:ascii="仿宋" w:eastAsia="仿宋" w:hAnsi="仿宋" w:hint="eastAsia"/>
          <w:sz w:val="24"/>
          <w:szCs w:val="24"/>
        </w:rPr>
        <w:t>持金额</w:t>
      </w:r>
      <w:proofErr w:type="gramEnd"/>
      <w:r w:rsidRPr="00933CC3">
        <w:rPr>
          <w:rFonts w:ascii="仿宋" w:eastAsia="仿宋" w:hAnsi="仿宋" w:hint="eastAsia"/>
          <w:sz w:val="24"/>
          <w:szCs w:val="24"/>
        </w:rPr>
        <w:t>排行靠前的行业是</w:t>
      </w:r>
      <w:r w:rsidR="000A0712" w:rsidRPr="000A0712">
        <w:rPr>
          <w:rFonts w:ascii="仿宋" w:eastAsia="仿宋" w:hAnsi="仿宋" w:hint="eastAsia"/>
          <w:color w:val="FF0000"/>
          <w:sz w:val="24"/>
          <w:szCs w:val="24"/>
        </w:rPr>
        <w:t>银行</w:t>
      </w:r>
      <w:r w:rsidRPr="00584C12">
        <w:rPr>
          <w:rFonts w:ascii="仿宋" w:eastAsia="仿宋" w:hAnsi="仿宋" w:hint="eastAsia"/>
          <w:sz w:val="24"/>
          <w:szCs w:val="24"/>
        </w:rPr>
        <w:t>（</w:t>
      </w:r>
      <w:r w:rsidR="000A0712">
        <w:rPr>
          <w:rFonts w:ascii="仿宋" w:eastAsia="仿宋" w:hAnsi="仿宋" w:hint="eastAsia"/>
          <w:sz w:val="24"/>
          <w:szCs w:val="24"/>
        </w:rPr>
        <w:t>↑</w:t>
      </w:r>
      <w:r>
        <w:rPr>
          <w:rFonts w:ascii="仿宋" w:eastAsia="仿宋" w:hAnsi="仿宋"/>
          <w:sz w:val="24"/>
          <w:szCs w:val="24"/>
        </w:rPr>
        <w:t xml:space="preserve"> 0.</w:t>
      </w:r>
      <w:r w:rsidR="000A0712">
        <w:rPr>
          <w:rFonts w:ascii="仿宋" w:eastAsia="仿宋" w:hAnsi="仿宋"/>
          <w:sz w:val="24"/>
          <w:szCs w:val="24"/>
        </w:rPr>
        <w:t>44</w:t>
      </w:r>
      <w:r w:rsidRPr="00584C12">
        <w:rPr>
          <w:rFonts w:ascii="仿宋" w:eastAsia="仿宋" w:hAnsi="仿宋" w:hint="eastAsia"/>
          <w:sz w:val="24"/>
          <w:szCs w:val="24"/>
        </w:rPr>
        <w:t>）</w:t>
      </w:r>
      <w:r w:rsidRPr="00584C12">
        <w:rPr>
          <w:rFonts w:ascii="仿宋" w:eastAsia="仿宋" w:hAnsi="仿宋" w:hint="eastAsia"/>
          <w:color w:val="FF0000"/>
          <w:sz w:val="24"/>
          <w:szCs w:val="24"/>
        </w:rPr>
        <w:t>、</w:t>
      </w:r>
      <w:r w:rsidR="000A0712">
        <w:rPr>
          <w:rFonts w:ascii="仿宋" w:eastAsia="仿宋" w:hAnsi="仿宋" w:hint="eastAsia"/>
          <w:color w:val="FF0000"/>
          <w:sz w:val="24"/>
          <w:szCs w:val="24"/>
        </w:rPr>
        <w:t>电力及公用事业</w:t>
      </w:r>
      <w:r w:rsidRPr="00584C12">
        <w:rPr>
          <w:rFonts w:ascii="仿宋" w:eastAsia="仿宋" w:hAnsi="仿宋" w:hint="eastAsia"/>
          <w:sz w:val="24"/>
          <w:szCs w:val="24"/>
        </w:rPr>
        <w:t>（↑</w:t>
      </w:r>
      <w:r w:rsidR="000A0712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0.</w:t>
      </w:r>
      <w:r w:rsidR="000A0712">
        <w:rPr>
          <w:rFonts w:ascii="仿宋" w:eastAsia="仿宋" w:hAnsi="仿宋"/>
          <w:sz w:val="24"/>
          <w:szCs w:val="24"/>
        </w:rPr>
        <w:t>20</w:t>
      </w:r>
      <w:r w:rsidRPr="00584C12">
        <w:rPr>
          <w:rFonts w:ascii="仿宋" w:eastAsia="仿宋" w:hAnsi="仿宋" w:hint="eastAsia"/>
          <w:sz w:val="24"/>
          <w:szCs w:val="24"/>
        </w:rPr>
        <w:t>）</w:t>
      </w:r>
      <w:r w:rsidRPr="00584C12">
        <w:rPr>
          <w:rFonts w:ascii="仿宋" w:eastAsia="仿宋" w:hAnsi="仿宋" w:hint="eastAsia"/>
          <w:color w:val="FF0000"/>
          <w:sz w:val="24"/>
          <w:szCs w:val="24"/>
        </w:rPr>
        <w:t>、</w:t>
      </w:r>
      <w:r w:rsidR="000A0712">
        <w:rPr>
          <w:rFonts w:ascii="仿宋" w:eastAsia="仿宋" w:hAnsi="仿宋" w:hint="eastAsia"/>
          <w:color w:val="FF0000"/>
          <w:sz w:val="24"/>
          <w:szCs w:val="24"/>
        </w:rPr>
        <w:t>计算机</w:t>
      </w:r>
      <w:r w:rsidRPr="00584C12">
        <w:rPr>
          <w:rFonts w:ascii="仿宋" w:eastAsia="仿宋" w:hAnsi="仿宋" w:hint="eastAsia"/>
          <w:sz w:val="24"/>
          <w:szCs w:val="24"/>
        </w:rPr>
        <w:t>（</w:t>
      </w:r>
      <w:r w:rsidR="006B5638">
        <w:rPr>
          <w:rFonts w:ascii="仿宋" w:eastAsia="仿宋" w:hAnsi="仿宋" w:hint="eastAsia"/>
          <w:sz w:val="24"/>
          <w:szCs w:val="24"/>
        </w:rPr>
        <w:t>↓</w:t>
      </w:r>
      <w:r w:rsidRPr="00584C12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0.</w:t>
      </w:r>
      <w:r w:rsidR="000A0712">
        <w:rPr>
          <w:rFonts w:ascii="仿宋" w:eastAsia="仿宋" w:hAnsi="仿宋"/>
          <w:sz w:val="24"/>
          <w:szCs w:val="24"/>
        </w:rPr>
        <w:t>08</w:t>
      </w:r>
      <w:r w:rsidRPr="00584C12">
        <w:rPr>
          <w:rFonts w:ascii="仿宋" w:eastAsia="仿宋" w:hAnsi="仿宋" w:hint="eastAsia"/>
          <w:sz w:val="24"/>
          <w:szCs w:val="24"/>
        </w:rPr>
        <w:t>）</w:t>
      </w:r>
      <w:r w:rsidRPr="00584C12">
        <w:rPr>
          <w:rFonts w:ascii="仿宋" w:eastAsia="仿宋" w:hAnsi="仿宋" w:hint="eastAsia"/>
          <w:color w:val="FF0000"/>
          <w:sz w:val="24"/>
          <w:szCs w:val="24"/>
        </w:rPr>
        <w:t>、</w:t>
      </w:r>
      <w:r w:rsidR="000A0712">
        <w:rPr>
          <w:rFonts w:ascii="仿宋" w:eastAsia="仿宋" w:hAnsi="仿宋" w:hint="eastAsia"/>
          <w:color w:val="FF0000"/>
          <w:sz w:val="24"/>
          <w:szCs w:val="24"/>
        </w:rPr>
        <w:t>交通运输</w:t>
      </w:r>
      <w:r w:rsidRPr="00584C12">
        <w:rPr>
          <w:rFonts w:ascii="仿宋" w:eastAsia="仿宋" w:hAnsi="仿宋" w:hint="eastAsia"/>
          <w:sz w:val="24"/>
          <w:szCs w:val="24"/>
        </w:rPr>
        <w:t>（↑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0.</w:t>
      </w:r>
      <w:r w:rsidR="000A0712">
        <w:rPr>
          <w:rFonts w:ascii="仿宋" w:eastAsia="仿宋" w:hAnsi="仿宋"/>
          <w:sz w:val="24"/>
          <w:szCs w:val="24"/>
        </w:rPr>
        <w:t>11</w:t>
      </w:r>
      <w:r w:rsidRPr="00584C12">
        <w:rPr>
          <w:rFonts w:ascii="仿宋" w:eastAsia="仿宋" w:hAnsi="仿宋" w:hint="eastAsia"/>
          <w:sz w:val="24"/>
          <w:szCs w:val="24"/>
        </w:rPr>
        <w:t>）</w:t>
      </w:r>
      <w:r w:rsidRPr="00584C12">
        <w:rPr>
          <w:rFonts w:ascii="仿宋" w:eastAsia="仿宋" w:hAnsi="仿宋" w:hint="eastAsia"/>
          <w:color w:val="FF0000"/>
          <w:sz w:val="24"/>
          <w:szCs w:val="24"/>
        </w:rPr>
        <w:t>、</w:t>
      </w:r>
      <w:r w:rsidR="000A0712">
        <w:rPr>
          <w:rFonts w:ascii="仿宋" w:eastAsia="仿宋" w:hAnsi="仿宋" w:hint="eastAsia"/>
          <w:color w:val="FF0000"/>
          <w:sz w:val="24"/>
          <w:szCs w:val="24"/>
        </w:rPr>
        <w:t>建筑</w:t>
      </w:r>
      <w:r w:rsidRPr="00584C12">
        <w:rPr>
          <w:rFonts w:ascii="仿宋" w:eastAsia="仿宋" w:hAnsi="仿宋" w:hint="eastAsia"/>
          <w:sz w:val="24"/>
          <w:szCs w:val="24"/>
        </w:rPr>
        <w:t xml:space="preserve">（↑ </w:t>
      </w:r>
      <w:r>
        <w:rPr>
          <w:rFonts w:ascii="仿宋" w:eastAsia="仿宋" w:hAnsi="仿宋"/>
          <w:sz w:val="24"/>
          <w:szCs w:val="24"/>
        </w:rPr>
        <w:t>0.</w:t>
      </w:r>
      <w:r w:rsidR="000A0712">
        <w:rPr>
          <w:rFonts w:ascii="仿宋" w:eastAsia="仿宋" w:hAnsi="仿宋"/>
          <w:sz w:val="24"/>
          <w:szCs w:val="24"/>
        </w:rPr>
        <w:t>16</w:t>
      </w:r>
      <w:r w:rsidRPr="00584C12">
        <w:rPr>
          <w:rFonts w:ascii="仿宋" w:eastAsia="仿宋" w:hAnsi="仿宋" w:hint="eastAsia"/>
          <w:sz w:val="24"/>
          <w:szCs w:val="24"/>
        </w:rPr>
        <w:t>）</w:t>
      </w:r>
      <w:r w:rsidRPr="005851C4">
        <w:rPr>
          <w:rFonts w:ascii="仿宋" w:eastAsia="仿宋" w:hAnsi="仿宋" w:hint="eastAsia"/>
          <w:sz w:val="24"/>
          <w:szCs w:val="24"/>
        </w:rPr>
        <w:t>；减</w:t>
      </w:r>
      <w:proofErr w:type="gramStart"/>
      <w:r w:rsidRPr="005851C4">
        <w:rPr>
          <w:rFonts w:ascii="仿宋" w:eastAsia="仿宋" w:hAnsi="仿宋" w:hint="eastAsia"/>
          <w:sz w:val="24"/>
          <w:szCs w:val="24"/>
        </w:rPr>
        <w:t>持金额</w:t>
      </w:r>
      <w:proofErr w:type="gramEnd"/>
      <w:r w:rsidRPr="005851C4">
        <w:rPr>
          <w:rFonts w:ascii="仿宋" w:eastAsia="仿宋" w:hAnsi="仿宋" w:hint="eastAsia"/>
          <w:sz w:val="24"/>
          <w:szCs w:val="24"/>
        </w:rPr>
        <w:t>排名靠前的行业是</w:t>
      </w:r>
      <w:r w:rsidR="000A0712" w:rsidRPr="000A0712">
        <w:rPr>
          <w:rFonts w:ascii="仿宋" w:eastAsia="仿宋" w:hAnsi="仿宋" w:hint="eastAsia"/>
          <w:color w:val="00B050"/>
          <w:sz w:val="24"/>
          <w:szCs w:val="24"/>
        </w:rPr>
        <w:t>电力设备及新能源</w:t>
      </w:r>
      <w:r w:rsidRPr="00B21C58">
        <w:rPr>
          <w:rFonts w:ascii="仿宋" w:eastAsia="仿宋" w:hAnsi="仿宋" w:hint="eastAsia"/>
          <w:sz w:val="24"/>
          <w:szCs w:val="24"/>
        </w:rPr>
        <w:t xml:space="preserve">（↓ </w:t>
      </w:r>
      <w:r>
        <w:rPr>
          <w:rFonts w:ascii="仿宋" w:eastAsia="仿宋" w:hAnsi="仿宋"/>
          <w:sz w:val="24"/>
          <w:szCs w:val="24"/>
        </w:rPr>
        <w:t>0.</w:t>
      </w:r>
      <w:r w:rsidR="000A0712">
        <w:rPr>
          <w:rFonts w:ascii="仿宋" w:eastAsia="仿宋" w:hAnsi="仿宋"/>
          <w:sz w:val="24"/>
          <w:szCs w:val="24"/>
        </w:rPr>
        <w:t>49</w:t>
      </w:r>
      <w:r w:rsidRPr="00B21C58">
        <w:rPr>
          <w:rFonts w:ascii="仿宋" w:eastAsia="仿宋" w:hAnsi="仿宋" w:hint="eastAsia"/>
          <w:sz w:val="24"/>
          <w:szCs w:val="24"/>
        </w:rPr>
        <w:t>）</w:t>
      </w:r>
      <w:r w:rsidRPr="00B21C58">
        <w:rPr>
          <w:rFonts w:ascii="仿宋" w:eastAsia="仿宋" w:hAnsi="仿宋" w:hint="eastAsia"/>
          <w:color w:val="00B050"/>
          <w:sz w:val="24"/>
          <w:szCs w:val="24"/>
        </w:rPr>
        <w:t>、</w:t>
      </w:r>
      <w:r w:rsidR="000A0712">
        <w:rPr>
          <w:rFonts w:ascii="仿宋" w:eastAsia="仿宋" w:hAnsi="仿宋" w:hint="eastAsia"/>
          <w:color w:val="00B050"/>
          <w:sz w:val="24"/>
          <w:szCs w:val="24"/>
        </w:rPr>
        <w:t>传媒</w:t>
      </w:r>
      <w:r w:rsidRPr="00B21C58">
        <w:rPr>
          <w:rFonts w:ascii="仿宋" w:eastAsia="仿宋" w:hAnsi="仿宋" w:hint="eastAsia"/>
          <w:sz w:val="24"/>
          <w:szCs w:val="24"/>
        </w:rPr>
        <w:t>（</w:t>
      </w:r>
      <w:r w:rsidR="000A0712">
        <w:rPr>
          <w:rFonts w:ascii="仿宋" w:eastAsia="仿宋" w:hAnsi="仿宋" w:hint="eastAsia"/>
          <w:sz w:val="24"/>
          <w:szCs w:val="24"/>
        </w:rPr>
        <w:t>↓</w:t>
      </w:r>
      <w:r w:rsidRPr="00B21C58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0.</w:t>
      </w:r>
      <w:r w:rsidR="000A0712">
        <w:rPr>
          <w:rFonts w:ascii="仿宋" w:eastAsia="仿宋" w:hAnsi="仿宋"/>
          <w:sz w:val="24"/>
          <w:szCs w:val="24"/>
        </w:rPr>
        <w:t>06</w:t>
      </w:r>
      <w:r w:rsidRPr="00B21C58">
        <w:rPr>
          <w:rFonts w:ascii="仿宋" w:eastAsia="仿宋" w:hAnsi="仿宋" w:hint="eastAsia"/>
          <w:sz w:val="24"/>
          <w:szCs w:val="24"/>
        </w:rPr>
        <w:t>）</w:t>
      </w:r>
      <w:r w:rsidRPr="00B21C58">
        <w:rPr>
          <w:rFonts w:ascii="仿宋" w:eastAsia="仿宋" w:hAnsi="仿宋" w:hint="eastAsia"/>
          <w:color w:val="00B050"/>
          <w:sz w:val="24"/>
          <w:szCs w:val="24"/>
        </w:rPr>
        <w:t>、</w:t>
      </w:r>
      <w:r w:rsidR="000A0712">
        <w:rPr>
          <w:rFonts w:ascii="仿宋" w:eastAsia="仿宋" w:hAnsi="仿宋" w:hint="eastAsia"/>
          <w:color w:val="00B050"/>
          <w:sz w:val="24"/>
          <w:szCs w:val="24"/>
        </w:rPr>
        <w:t>石油石化</w:t>
      </w:r>
      <w:r w:rsidRPr="00B21C58">
        <w:rPr>
          <w:rFonts w:ascii="仿宋" w:eastAsia="仿宋" w:hAnsi="仿宋" w:hint="eastAsia"/>
          <w:sz w:val="24"/>
          <w:szCs w:val="24"/>
        </w:rPr>
        <w:t>（</w:t>
      </w:r>
      <w:r w:rsidR="000A0712">
        <w:rPr>
          <w:rFonts w:ascii="仿宋" w:eastAsia="仿宋" w:hAnsi="仿宋" w:hint="eastAsia"/>
          <w:sz w:val="24"/>
          <w:szCs w:val="24"/>
        </w:rPr>
        <w:t>↑</w:t>
      </w:r>
      <w:r w:rsidRPr="00B21C58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0.</w:t>
      </w:r>
      <w:r w:rsidR="000A0712">
        <w:rPr>
          <w:rFonts w:ascii="仿宋" w:eastAsia="仿宋" w:hAnsi="仿宋"/>
          <w:sz w:val="24"/>
          <w:szCs w:val="24"/>
        </w:rPr>
        <w:t>07</w:t>
      </w:r>
      <w:r w:rsidRPr="00B21C58">
        <w:rPr>
          <w:rFonts w:ascii="仿宋" w:eastAsia="仿宋" w:hAnsi="仿宋" w:hint="eastAsia"/>
          <w:sz w:val="24"/>
          <w:szCs w:val="24"/>
        </w:rPr>
        <w:t>）</w:t>
      </w:r>
      <w:r w:rsidRPr="00B21C58">
        <w:rPr>
          <w:rFonts w:ascii="仿宋" w:eastAsia="仿宋" w:hAnsi="仿宋" w:hint="eastAsia"/>
          <w:color w:val="00B050"/>
          <w:sz w:val="24"/>
          <w:szCs w:val="24"/>
        </w:rPr>
        <w:t>、</w:t>
      </w:r>
      <w:r w:rsidR="000A0712">
        <w:rPr>
          <w:rFonts w:ascii="仿宋" w:eastAsia="仿宋" w:hAnsi="仿宋" w:hint="eastAsia"/>
          <w:color w:val="00B050"/>
          <w:sz w:val="24"/>
          <w:szCs w:val="24"/>
        </w:rPr>
        <w:t>汽车</w:t>
      </w:r>
      <w:r w:rsidRPr="00B21C58">
        <w:rPr>
          <w:rFonts w:ascii="仿宋" w:eastAsia="仿宋" w:hAnsi="仿宋" w:hint="eastAsia"/>
          <w:sz w:val="24"/>
          <w:szCs w:val="24"/>
        </w:rPr>
        <w:t xml:space="preserve">（↓ </w:t>
      </w:r>
      <w:r>
        <w:rPr>
          <w:rFonts w:ascii="仿宋" w:eastAsia="仿宋" w:hAnsi="仿宋"/>
          <w:sz w:val="24"/>
          <w:szCs w:val="24"/>
        </w:rPr>
        <w:t>0.</w:t>
      </w:r>
      <w:r w:rsidR="000A0712">
        <w:rPr>
          <w:rFonts w:ascii="仿宋" w:eastAsia="仿宋" w:hAnsi="仿宋"/>
          <w:sz w:val="24"/>
          <w:szCs w:val="24"/>
        </w:rPr>
        <w:t>11</w:t>
      </w:r>
      <w:r w:rsidRPr="00B21C58">
        <w:rPr>
          <w:rFonts w:ascii="仿宋" w:eastAsia="仿宋" w:hAnsi="仿宋" w:hint="eastAsia"/>
          <w:sz w:val="24"/>
          <w:szCs w:val="24"/>
        </w:rPr>
        <w:t>）</w:t>
      </w:r>
      <w:r w:rsidRPr="00B21C58">
        <w:rPr>
          <w:rFonts w:ascii="仿宋" w:eastAsia="仿宋" w:hAnsi="仿宋" w:hint="eastAsia"/>
          <w:color w:val="00B050"/>
          <w:sz w:val="24"/>
          <w:szCs w:val="24"/>
        </w:rPr>
        <w:t>、</w:t>
      </w:r>
      <w:r w:rsidR="000A0712">
        <w:rPr>
          <w:rFonts w:ascii="仿宋" w:eastAsia="仿宋" w:hAnsi="仿宋" w:hint="eastAsia"/>
          <w:color w:val="00B050"/>
          <w:sz w:val="24"/>
          <w:szCs w:val="24"/>
        </w:rPr>
        <w:t>消费者服务</w:t>
      </w:r>
      <w:r w:rsidRPr="00B21C58">
        <w:rPr>
          <w:rFonts w:ascii="仿宋" w:eastAsia="仿宋" w:hAnsi="仿宋" w:hint="eastAsia"/>
          <w:sz w:val="24"/>
          <w:szCs w:val="24"/>
        </w:rPr>
        <w:t xml:space="preserve">（↓ </w:t>
      </w:r>
      <w:r>
        <w:rPr>
          <w:rFonts w:ascii="仿宋" w:eastAsia="仿宋" w:hAnsi="仿宋"/>
          <w:sz w:val="24"/>
          <w:szCs w:val="24"/>
        </w:rPr>
        <w:t>0.0</w:t>
      </w:r>
      <w:r w:rsidR="000A0712">
        <w:rPr>
          <w:rFonts w:ascii="仿宋" w:eastAsia="仿宋" w:hAnsi="仿宋"/>
          <w:sz w:val="24"/>
          <w:szCs w:val="24"/>
        </w:rPr>
        <w:t>2</w:t>
      </w:r>
      <w:r w:rsidRPr="00B21C58">
        <w:rPr>
          <w:rFonts w:ascii="仿宋" w:eastAsia="仿宋" w:hAnsi="仿宋" w:hint="eastAsia"/>
          <w:sz w:val="24"/>
          <w:szCs w:val="24"/>
        </w:rPr>
        <w:t>）</w:t>
      </w:r>
      <w:r w:rsidR="00253F1A" w:rsidRPr="005851C4">
        <w:rPr>
          <w:rFonts w:ascii="仿宋" w:eastAsia="仿宋" w:hAnsi="仿宋" w:hint="eastAsia"/>
          <w:sz w:val="24"/>
          <w:szCs w:val="24"/>
        </w:rPr>
        <w:t>。</w:t>
      </w:r>
    </w:p>
    <w:p w14:paraId="372C7CED" w14:textId="44922C55" w:rsidR="00253F1A" w:rsidRDefault="000A0712" w:rsidP="00253F1A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anchor distT="0" distB="0" distL="114300" distR="114300" simplePos="0" relativeHeight="251735040" behindDoc="0" locked="0" layoutInCell="1" allowOverlap="1" wp14:anchorId="0F3C750B" wp14:editId="5C5CD0AA">
            <wp:simplePos x="0" y="0"/>
            <wp:positionH relativeFrom="column">
              <wp:posOffset>1164336</wp:posOffset>
            </wp:positionH>
            <wp:positionV relativeFrom="paragraph">
              <wp:posOffset>381635</wp:posOffset>
            </wp:positionV>
            <wp:extent cx="3700780" cy="2207260"/>
            <wp:effectExtent l="0" t="0" r="0" b="2540"/>
            <wp:wrapTopAndBottom/>
            <wp:docPr id="175840834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220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F1A">
        <w:rPr>
          <w:rFonts w:ascii="黑体" w:eastAsia="黑体" w:hAnsi="黑体" w:hint="eastAsia"/>
          <w:szCs w:val="21"/>
        </w:rPr>
        <w:t>图：上周北向资金行业流向（亿元）</w:t>
      </w:r>
    </w:p>
    <w:p w14:paraId="4AE855FF" w14:textId="553DF2A3" w:rsidR="006B5638" w:rsidRDefault="006B5638" w:rsidP="006B5638">
      <w:pPr>
        <w:spacing w:line="360" w:lineRule="auto"/>
        <w:rPr>
          <w:rFonts w:ascii="黑体" w:eastAsia="黑体" w:hAnsi="黑体"/>
          <w:szCs w:val="21"/>
        </w:rPr>
      </w:pPr>
    </w:p>
    <w:p w14:paraId="51493D3C" w14:textId="77777777" w:rsidR="006B5638" w:rsidRPr="006B5638" w:rsidRDefault="006B5638" w:rsidP="00253F1A">
      <w:pPr>
        <w:spacing w:line="360" w:lineRule="auto"/>
        <w:jc w:val="center"/>
        <w:rPr>
          <w:rFonts w:ascii="黑体" w:eastAsia="黑体" w:hAnsi="黑体"/>
          <w:szCs w:val="21"/>
        </w:rPr>
      </w:pPr>
    </w:p>
    <w:p w14:paraId="40C167C4" w14:textId="15DC1B2E" w:rsidR="00253F1A" w:rsidRDefault="00253F1A" w:rsidP="00253F1A">
      <w:pPr>
        <w:spacing w:line="360" w:lineRule="auto"/>
        <w:ind w:firstLineChars="400" w:firstLine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lastRenderedPageBreak/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p w14:paraId="56B6919C" w14:textId="451824BD" w:rsidR="00253F1A" w:rsidRPr="007D558D" w:rsidRDefault="00F608B1" w:rsidP="00253F1A">
      <w:pPr>
        <w:spacing w:line="360" w:lineRule="auto"/>
        <w:ind w:firstLineChars="200" w:firstLine="482"/>
        <w:rPr>
          <w:rFonts w:ascii="仿宋" w:eastAsia="仿宋" w:hAnsi="仿宋"/>
          <w:color w:val="000000" w:themeColor="text1"/>
          <w:kern w:val="24"/>
          <w:sz w:val="24"/>
          <w:szCs w:val="24"/>
        </w:rPr>
      </w:pPr>
      <w:r>
        <w:rPr>
          <w:rFonts w:ascii="仿宋" w:eastAsia="仿宋" w:hAnsi="仿宋"/>
          <w:b/>
          <w:color w:val="000000" w:themeColor="text1"/>
          <w:kern w:val="24"/>
          <w:sz w:val="24"/>
          <w:szCs w:val="24"/>
        </w:rPr>
        <w:t>1</w:t>
      </w:r>
      <w:r w:rsidRPr="006E7AF9">
        <w:rPr>
          <w:rFonts w:ascii="仿宋" w:eastAsia="仿宋" w:hAnsi="仿宋" w:hint="eastAsia"/>
          <w:b/>
          <w:color w:val="000000" w:themeColor="text1"/>
          <w:kern w:val="24"/>
          <w:sz w:val="24"/>
          <w:szCs w:val="24"/>
        </w:rPr>
        <w:t>月</w:t>
      </w:r>
      <w:r w:rsidR="000A0712">
        <w:rPr>
          <w:rFonts w:ascii="仿宋" w:eastAsia="仿宋" w:hAnsi="仿宋"/>
          <w:b/>
          <w:color w:val="000000" w:themeColor="text1"/>
          <w:kern w:val="24"/>
          <w:sz w:val="24"/>
          <w:szCs w:val="24"/>
        </w:rPr>
        <w:t>26</w:t>
      </w:r>
      <w:r w:rsidRPr="006E7AF9">
        <w:rPr>
          <w:rFonts w:ascii="仿宋" w:eastAsia="仿宋" w:hAnsi="仿宋" w:hint="eastAsia"/>
          <w:b/>
          <w:color w:val="000000" w:themeColor="text1"/>
          <w:kern w:val="24"/>
          <w:sz w:val="24"/>
          <w:szCs w:val="24"/>
        </w:rPr>
        <w:t>日，两融资金占比为</w:t>
      </w:r>
      <w:r w:rsidR="000A0712">
        <w:rPr>
          <w:rFonts w:ascii="仿宋" w:eastAsia="仿宋" w:hAnsi="仿宋"/>
          <w:b/>
          <w:color w:val="000000" w:themeColor="text1"/>
          <w:kern w:val="24"/>
          <w:sz w:val="24"/>
          <w:szCs w:val="24"/>
        </w:rPr>
        <w:t>7.99</w:t>
      </w:r>
      <w:r>
        <w:rPr>
          <w:rFonts w:ascii="仿宋" w:eastAsia="仿宋" w:hAnsi="仿宋" w:hint="eastAsia"/>
          <w:b/>
          <w:color w:val="000000" w:themeColor="text1"/>
          <w:kern w:val="24"/>
          <w:sz w:val="24"/>
          <w:szCs w:val="24"/>
        </w:rPr>
        <w:t>%</w:t>
      </w:r>
      <w:r w:rsidRPr="006E7AF9">
        <w:rPr>
          <w:rFonts w:ascii="仿宋" w:eastAsia="仿宋" w:hAnsi="仿宋" w:hint="eastAsia"/>
          <w:b/>
          <w:color w:val="000000" w:themeColor="text1"/>
          <w:kern w:val="24"/>
          <w:sz w:val="24"/>
          <w:szCs w:val="24"/>
        </w:rPr>
        <w:t>，</w:t>
      </w:r>
      <w:r>
        <w:rPr>
          <w:rFonts w:ascii="仿宋" w:eastAsia="仿宋" w:hAnsi="仿宋"/>
          <w:b/>
          <w:color w:val="000000" w:themeColor="text1"/>
          <w:kern w:val="24"/>
          <w:sz w:val="24"/>
          <w:szCs w:val="24"/>
        </w:rPr>
        <w:t>1</w:t>
      </w:r>
      <w:r w:rsidRPr="006E7AF9">
        <w:rPr>
          <w:rFonts w:ascii="仿宋" w:eastAsia="仿宋" w:hAnsi="仿宋" w:hint="eastAsia"/>
          <w:b/>
          <w:color w:val="000000" w:themeColor="text1"/>
          <w:kern w:val="24"/>
          <w:sz w:val="24"/>
          <w:szCs w:val="24"/>
        </w:rPr>
        <w:t>月</w:t>
      </w:r>
      <w:r w:rsidR="000A0712">
        <w:rPr>
          <w:rFonts w:ascii="仿宋" w:eastAsia="仿宋" w:hAnsi="仿宋"/>
          <w:b/>
          <w:color w:val="000000" w:themeColor="text1"/>
          <w:kern w:val="24"/>
          <w:sz w:val="24"/>
          <w:szCs w:val="24"/>
        </w:rPr>
        <w:t>19</w:t>
      </w:r>
      <w:r w:rsidRPr="006E7AF9">
        <w:rPr>
          <w:rFonts w:ascii="仿宋" w:eastAsia="仿宋" w:hAnsi="仿宋" w:hint="eastAsia"/>
          <w:b/>
          <w:color w:val="000000" w:themeColor="text1"/>
          <w:kern w:val="24"/>
          <w:sz w:val="24"/>
          <w:szCs w:val="24"/>
        </w:rPr>
        <w:t>日为</w:t>
      </w:r>
      <w:r w:rsidR="000A0712">
        <w:rPr>
          <w:rFonts w:ascii="仿宋" w:eastAsia="仿宋" w:hAnsi="仿宋"/>
          <w:b/>
          <w:color w:val="000000" w:themeColor="text1"/>
          <w:kern w:val="24"/>
          <w:sz w:val="24"/>
          <w:szCs w:val="24"/>
        </w:rPr>
        <w:t>7.53</w:t>
      </w:r>
      <w:r w:rsidRPr="006E7AF9">
        <w:rPr>
          <w:rFonts w:ascii="仿宋" w:eastAsia="仿宋" w:hAnsi="仿宋" w:hint="eastAsia"/>
          <w:b/>
          <w:color w:val="000000" w:themeColor="text1"/>
          <w:kern w:val="24"/>
          <w:sz w:val="24"/>
          <w:szCs w:val="24"/>
        </w:rPr>
        <w:t>%，反映出杠杆资金加仓意愿</w:t>
      </w:r>
      <w:r w:rsidR="000A0712">
        <w:rPr>
          <w:rFonts w:ascii="仿宋" w:eastAsia="仿宋" w:hAnsi="仿宋" w:hint="eastAsia"/>
          <w:b/>
          <w:color w:val="000000" w:themeColor="text1"/>
          <w:kern w:val="24"/>
          <w:sz w:val="24"/>
          <w:szCs w:val="24"/>
        </w:rPr>
        <w:t>上升</w:t>
      </w:r>
      <w:r w:rsidRPr="006E7AF9">
        <w:rPr>
          <w:rFonts w:ascii="仿宋" w:eastAsia="仿宋" w:hAnsi="仿宋" w:hint="eastAsia"/>
          <w:b/>
          <w:color w:val="000000" w:themeColor="text1"/>
          <w:kern w:val="24"/>
          <w:sz w:val="24"/>
          <w:szCs w:val="24"/>
        </w:rPr>
        <w:t>。</w:t>
      </w:r>
      <w:r w:rsidRPr="00C01814">
        <w:rPr>
          <w:rFonts w:ascii="仿宋" w:eastAsia="仿宋" w:hAnsi="仿宋" w:hint="eastAsia"/>
          <w:color w:val="000000" w:themeColor="text1"/>
          <w:kern w:val="24"/>
          <w:sz w:val="24"/>
          <w:szCs w:val="24"/>
        </w:rPr>
        <w:t>截至</w:t>
      </w:r>
      <w:r>
        <w:rPr>
          <w:rFonts w:ascii="仿宋" w:eastAsia="仿宋" w:hAnsi="仿宋"/>
          <w:color w:val="000000" w:themeColor="text1"/>
          <w:kern w:val="24"/>
          <w:sz w:val="24"/>
          <w:szCs w:val="24"/>
        </w:rPr>
        <w:t>1</w:t>
      </w:r>
      <w:r w:rsidRPr="00C01814">
        <w:rPr>
          <w:rFonts w:ascii="仿宋" w:eastAsia="仿宋" w:hAnsi="仿宋" w:hint="eastAsia"/>
          <w:color w:val="000000" w:themeColor="text1"/>
          <w:kern w:val="24"/>
          <w:sz w:val="24"/>
          <w:szCs w:val="24"/>
        </w:rPr>
        <w:t>月</w:t>
      </w:r>
      <w:r w:rsidR="000A0712">
        <w:rPr>
          <w:rFonts w:ascii="仿宋" w:eastAsia="仿宋" w:hAnsi="仿宋"/>
          <w:color w:val="000000" w:themeColor="text1"/>
          <w:kern w:val="24"/>
          <w:sz w:val="24"/>
          <w:szCs w:val="24"/>
        </w:rPr>
        <w:t>26</w:t>
      </w:r>
      <w:r w:rsidRPr="00C01814">
        <w:rPr>
          <w:rFonts w:ascii="仿宋" w:eastAsia="仿宋" w:hAnsi="仿宋" w:hint="eastAsia"/>
          <w:color w:val="000000" w:themeColor="text1"/>
          <w:kern w:val="24"/>
          <w:sz w:val="24"/>
          <w:szCs w:val="24"/>
        </w:rPr>
        <w:t>日，</w:t>
      </w:r>
      <w:r w:rsidR="000E0B07">
        <w:rPr>
          <w:rFonts w:ascii="仿宋" w:eastAsia="仿宋" w:hAnsi="仿宋" w:hint="eastAsia"/>
          <w:color w:val="000000" w:themeColor="text1"/>
          <w:kern w:val="24"/>
          <w:sz w:val="24"/>
          <w:szCs w:val="24"/>
        </w:rPr>
        <w:t>上</w:t>
      </w:r>
      <w:r w:rsidRPr="00C01814">
        <w:rPr>
          <w:rFonts w:ascii="仿宋" w:eastAsia="仿宋" w:hAnsi="仿宋" w:hint="eastAsia"/>
          <w:color w:val="000000" w:themeColor="text1"/>
          <w:kern w:val="24"/>
          <w:sz w:val="24"/>
          <w:szCs w:val="24"/>
        </w:rPr>
        <w:t>周融资净买入最大的</w:t>
      </w:r>
      <w:r w:rsidR="000A0712">
        <w:rPr>
          <w:rFonts w:ascii="仿宋" w:eastAsia="仿宋" w:hAnsi="仿宋" w:hint="eastAsia"/>
          <w:color w:val="000000" w:themeColor="text1"/>
          <w:kern w:val="24"/>
          <w:sz w:val="24"/>
          <w:szCs w:val="24"/>
        </w:rPr>
        <w:t>四</w:t>
      </w:r>
      <w:r w:rsidRPr="00C01814">
        <w:rPr>
          <w:rFonts w:ascii="仿宋" w:eastAsia="仿宋" w:hAnsi="仿宋" w:hint="eastAsia"/>
          <w:color w:val="000000" w:themeColor="text1"/>
          <w:kern w:val="24"/>
          <w:sz w:val="24"/>
          <w:szCs w:val="24"/>
        </w:rPr>
        <w:t>个行业为</w:t>
      </w:r>
      <w:r w:rsidR="000A0712">
        <w:rPr>
          <w:rFonts w:ascii="仿宋" w:eastAsia="仿宋" w:hAnsi="仿宋" w:hint="eastAsia"/>
          <w:b/>
          <w:bCs/>
          <w:color w:val="000000" w:themeColor="text1"/>
          <w:kern w:val="24"/>
          <w:sz w:val="24"/>
          <w:szCs w:val="24"/>
        </w:rPr>
        <w:t>传媒</w:t>
      </w:r>
      <w:r w:rsidR="006B5638" w:rsidRPr="006B5638">
        <w:rPr>
          <w:rFonts w:ascii="仿宋" w:eastAsia="仿宋" w:hAnsi="仿宋" w:hint="eastAsia"/>
          <w:b/>
          <w:bCs/>
          <w:color w:val="000000" w:themeColor="text1"/>
          <w:kern w:val="24"/>
          <w:sz w:val="24"/>
          <w:szCs w:val="24"/>
        </w:rPr>
        <w:t>、</w:t>
      </w:r>
      <w:r w:rsidR="000A0712">
        <w:rPr>
          <w:rFonts w:ascii="仿宋" w:eastAsia="仿宋" w:hAnsi="仿宋" w:hint="eastAsia"/>
          <w:b/>
          <w:bCs/>
          <w:color w:val="000000" w:themeColor="text1"/>
          <w:kern w:val="24"/>
          <w:sz w:val="24"/>
          <w:szCs w:val="24"/>
        </w:rPr>
        <w:t>石油石化、</w:t>
      </w:r>
      <w:r w:rsidR="006B5638" w:rsidRPr="006B5638">
        <w:rPr>
          <w:rFonts w:ascii="仿宋" w:eastAsia="仿宋" w:hAnsi="仿宋" w:hint="eastAsia"/>
          <w:b/>
          <w:bCs/>
          <w:color w:val="000000" w:themeColor="text1"/>
          <w:kern w:val="24"/>
          <w:sz w:val="24"/>
          <w:szCs w:val="24"/>
        </w:rPr>
        <w:t>综合</w:t>
      </w:r>
      <w:r w:rsidR="000A0712">
        <w:rPr>
          <w:rFonts w:ascii="仿宋" w:eastAsia="仿宋" w:hAnsi="仿宋" w:hint="eastAsia"/>
          <w:b/>
          <w:bCs/>
          <w:color w:val="000000" w:themeColor="text1"/>
          <w:kern w:val="24"/>
          <w:sz w:val="24"/>
          <w:szCs w:val="24"/>
        </w:rPr>
        <w:t>、消费者服务</w:t>
      </w:r>
      <w:r w:rsidR="00253F1A" w:rsidRPr="00C01814">
        <w:rPr>
          <w:rFonts w:ascii="仿宋" w:eastAsia="仿宋" w:hAnsi="仿宋" w:hint="eastAsia"/>
          <w:color w:val="000000" w:themeColor="text1"/>
          <w:kern w:val="24"/>
          <w:sz w:val="24"/>
          <w:szCs w:val="24"/>
        </w:rPr>
        <w:t>。</w:t>
      </w:r>
    </w:p>
    <w:p w14:paraId="34FCEB7C" w14:textId="567EF15C" w:rsidR="00253F1A" w:rsidRDefault="006B5638" w:rsidP="00253F1A">
      <w:pPr>
        <w:spacing w:line="360" w:lineRule="auto"/>
        <w:jc w:val="center"/>
        <w:rPr>
          <w:rFonts w:ascii="黑体" w:eastAsia="黑体" w:hAnsi="黑体"/>
          <w:szCs w:val="21"/>
        </w:rPr>
      </w:pPr>
      <w:r w:rsidRPr="006B5638">
        <w:rPr>
          <w:rFonts w:ascii="黑体" w:eastAsia="黑体" w:hAnsi="黑体"/>
          <w:noProof/>
          <w:szCs w:val="21"/>
        </w:rPr>
        <w:drawing>
          <wp:anchor distT="0" distB="0" distL="114300" distR="114300" simplePos="0" relativeHeight="251724800" behindDoc="0" locked="0" layoutInCell="1" allowOverlap="1" wp14:anchorId="0DB628A1" wp14:editId="1BB63EFE">
            <wp:simplePos x="0" y="0"/>
            <wp:positionH relativeFrom="column">
              <wp:posOffset>1006475</wp:posOffset>
            </wp:positionH>
            <wp:positionV relativeFrom="paragraph">
              <wp:posOffset>470535</wp:posOffset>
            </wp:positionV>
            <wp:extent cx="4376420" cy="2776220"/>
            <wp:effectExtent l="0" t="0" r="5080" b="5080"/>
            <wp:wrapTopAndBottom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A38381B8-76B5-4DC8-6489-7CFBC5FAD7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A38381B8-76B5-4DC8-6489-7CFBC5FAD7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42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F1A">
        <w:rPr>
          <w:rFonts w:ascii="黑体" w:eastAsia="黑体" w:hAnsi="黑体" w:hint="eastAsia"/>
          <w:szCs w:val="21"/>
        </w:rPr>
        <w:t>图：上周两融资</w:t>
      </w:r>
      <w:proofErr w:type="gramStart"/>
      <w:r w:rsidR="00253F1A">
        <w:rPr>
          <w:rFonts w:ascii="黑体" w:eastAsia="黑体" w:hAnsi="黑体" w:hint="eastAsia"/>
          <w:szCs w:val="21"/>
        </w:rPr>
        <w:t>金行业</w:t>
      </w:r>
      <w:proofErr w:type="gramEnd"/>
      <w:r w:rsidR="00253F1A">
        <w:rPr>
          <w:rFonts w:ascii="黑体" w:eastAsia="黑体" w:hAnsi="黑体" w:hint="eastAsia"/>
          <w:szCs w:val="21"/>
        </w:rPr>
        <w:t>流向（万元）</w:t>
      </w:r>
    </w:p>
    <w:p w14:paraId="65E2B768" w14:textId="24CC8E61" w:rsidR="00253F1A" w:rsidRPr="006B5638" w:rsidRDefault="00253F1A" w:rsidP="000554BD">
      <w:pPr>
        <w:spacing w:line="360" w:lineRule="auto"/>
        <w:rPr>
          <w:rFonts w:ascii="黑体" w:eastAsia="黑体" w:hAnsi="黑体"/>
          <w:szCs w:val="21"/>
        </w:rPr>
      </w:pPr>
    </w:p>
    <w:p w14:paraId="17C1B3E8" w14:textId="3B57439A" w:rsidR="00253F1A" w:rsidRDefault="00253F1A" w:rsidP="00253F1A">
      <w:pPr>
        <w:spacing w:line="360" w:lineRule="auto"/>
        <w:ind w:firstLineChars="400" w:firstLine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p w14:paraId="1A08092C" w14:textId="77777777" w:rsidR="00383A48" w:rsidRDefault="00A932B7">
      <w:pPr>
        <w:spacing w:line="360" w:lineRule="auto"/>
        <w:ind w:firstLine="480"/>
        <w:rPr>
          <w:rFonts w:ascii="楷体" w:eastAsia="楷体" w:hAnsi="楷体"/>
          <w:b/>
          <w:bCs/>
          <w:sz w:val="24"/>
          <w:szCs w:val="24"/>
        </w:rPr>
      </w:pPr>
      <w:r w:rsidRPr="00F568D5">
        <w:rPr>
          <w:rFonts w:ascii="楷体" w:eastAsia="楷体" w:hAnsi="楷体" w:hint="eastAsia"/>
          <w:b/>
          <w:bCs/>
          <w:sz w:val="24"/>
          <w:szCs w:val="24"/>
        </w:rPr>
        <w:t>5、海外权益市场</w:t>
      </w:r>
    </w:p>
    <w:p w14:paraId="41C01D9F" w14:textId="185019C9" w:rsidR="00D44874" w:rsidRPr="00F903C1" w:rsidRDefault="00A932B7" w:rsidP="00D44874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>
        <w:rPr>
          <w:rFonts w:ascii="仿宋" w:eastAsia="仿宋" w:hAnsi="仿宋"/>
          <w:b/>
          <w:sz w:val="24"/>
          <w:szCs w:val="24"/>
        </w:rPr>
        <w:t>周海外股市</w:t>
      </w:r>
      <w:r w:rsidR="00256CCF">
        <w:rPr>
          <w:rFonts w:ascii="仿宋" w:eastAsia="仿宋" w:hAnsi="仿宋" w:hint="eastAsia"/>
          <w:b/>
          <w:sz w:val="24"/>
          <w:szCs w:val="24"/>
        </w:rPr>
        <w:t>集体</w:t>
      </w:r>
      <w:r w:rsidR="007F6142">
        <w:rPr>
          <w:rFonts w:ascii="仿宋" w:eastAsia="仿宋" w:hAnsi="仿宋" w:hint="eastAsia"/>
          <w:b/>
          <w:sz w:val="24"/>
          <w:szCs w:val="24"/>
        </w:rPr>
        <w:t>上涨</w:t>
      </w:r>
      <w:r>
        <w:rPr>
          <w:rFonts w:ascii="仿宋" w:eastAsia="仿宋" w:hAnsi="仿宋"/>
          <w:sz w:val="24"/>
          <w:szCs w:val="24"/>
        </w:rPr>
        <w:t>。美国股市方面，道指</w:t>
      </w:r>
      <w:r w:rsidR="007F6142">
        <w:rPr>
          <w:rFonts w:ascii="仿宋" w:eastAsia="仿宋" w:hAnsi="仿宋" w:hint="eastAsia"/>
          <w:sz w:val="24"/>
          <w:szCs w:val="24"/>
        </w:rPr>
        <w:t>上涨</w:t>
      </w:r>
      <w:r w:rsidR="00E86CA0">
        <w:rPr>
          <w:rFonts w:ascii="仿宋" w:eastAsia="仿宋" w:hAnsi="仿宋"/>
          <w:sz w:val="24"/>
          <w:szCs w:val="24"/>
        </w:rPr>
        <w:t>0.65</w:t>
      </w:r>
      <w:r>
        <w:rPr>
          <w:rFonts w:ascii="仿宋" w:eastAsia="仿宋" w:hAnsi="仿宋"/>
          <w:sz w:val="24"/>
          <w:szCs w:val="24"/>
        </w:rPr>
        <w:t>%，</w:t>
      </w:r>
      <w:proofErr w:type="gramStart"/>
      <w:r>
        <w:rPr>
          <w:rFonts w:ascii="仿宋" w:eastAsia="仿宋" w:hAnsi="仿宋"/>
          <w:sz w:val="24"/>
          <w:szCs w:val="24"/>
        </w:rPr>
        <w:t>标普</w:t>
      </w:r>
      <w:proofErr w:type="gramEnd"/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00</w:t>
      </w:r>
      <w:r w:rsidR="007F6142">
        <w:rPr>
          <w:rFonts w:ascii="仿宋" w:eastAsia="仿宋" w:hAnsi="仿宋" w:hint="eastAsia"/>
          <w:sz w:val="24"/>
          <w:szCs w:val="24"/>
        </w:rPr>
        <w:t>上涨</w:t>
      </w:r>
      <w:r w:rsidR="00E86CA0">
        <w:rPr>
          <w:rFonts w:ascii="仿宋" w:eastAsia="仿宋" w:hAnsi="仿宋"/>
          <w:sz w:val="24"/>
          <w:szCs w:val="24"/>
        </w:rPr>
        <w:t>1.06</w:t>
      </w:r>
      <w:r>
        <w:rPr>
          <w:rFonts w:ascii="仿宋" w:eastAsia="仿宋" w:hAnsi="仿宋"/>
          <w:sz w:val="24"/>
          <w:szCs w:val="24"/>
        </w:rPr>
        <w:t>%，</w:t>
      </w:r>
      <w:proofErr w:type="gramStart"/>
      <w:r>
        <w:rPr>
          <w:rFonts w:ascii="仿宋" w:eastAsia="仿宋" w:hAnsi="仿宋"/>
          <w:sz w:val="24"/>
          <w:szCs w:val="24"/>
        </w:rPr>
        <w:t>纳指</w:t>
      </w:r>
      <w:r w:rsidR="007F6142">
        <w:rPr>
          <w:rFonts w:ascii="仿宋" w:eastAsia="仿宋" w:hAnsi="仿宋" w:hint="eastAsia"/>
          <w:sz w:val="24"/>
          <w:szCs w:val="24"/>
        </w:rPr>
        <w:t>上涨</w:t>
      </w:r>
      <w:proofErr w:type="gramEnd"/>
      <w:r w:rsidR="00E86CA0">
        <w:rPr>
          <w:rFonts w:ascii="仿宋" w:eastAsia="仿宋" w:hAnsi="仿宋"/>
          <w:sz w:val="24"/>
          <w:szCs w:val="24"/>
        </w:rPr>
        <w:t>0.94</w:t>
      </w:r>
      <w:r>
        <w:rPr>
          <w:rFonts w:ascii="仿宋" w:eastAsia="仿宋" w:hAnsi="仿宋"/>
          <w:sz w:val="24"/>
          <w:szCs w:val="24"/>
        </w:rPr>
        <w:t>%；欧洲股市方面，英国富时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00</w:t>
      </w:r>
      <w:r w:rsidR="007F6142">
        <w:rPr>
          <w:rFonts w:ascii="仿宋" w:eastAsia="仿宋" w:hAnsi="仿宋" w:hint="eastAsia"/>
          <w:sz w:val="24"/>
          <w:szCs w:val="24"/>
        </w:rPr>
        <w:t>上涨</w:t>
      </w:r>
      <w:r w:rsidR="00105CFF">
        <w:rPr>
          <w:rFonts w:ascii="仿宋" w:eastAsia="仿宋" w:hAnsi="仿宋"/>
          <w:sz w:val="24"/>
          <w:szCs w:val="24"/>
        </w:rPr>
        <w:t>2</w:t>
      </w:r>
      <w:r w:rsidR="007F6142">
        <w:rPr>
          <w:rFonts w:ascii="仿宋" w:eastAsia="仿宋" w:hAnsi="仿宋"/>
          <w:sz w:val="24"/>
          <w:szCs w:val="24"/>
        </w:rPr>
        <w:t>.</w:t>
      </w:r>
      <w:r w:rsidR="00E86CA0">
        <w:rPr>
          <w:rFonts w:ascii="仿宋" w:eastAsia="仿宋" w:hAnsi="仿宋"/>
          <w:sz w:val="24"/>
          <w:szCs w:val="24"/>
        </w:rPr>
        <w:t>32</w:t>
      </w:r>
      <w:r>
        <w:rPr>
          <w:rFonts w:ascii="仿宋" w:eastAsia="仿宋" w:hAnsi="仿宋"/>
          <w:sz w:val="24"/>
          <w:szCs w:val="24"/>
        </w:rPr>
        <w:t>%，德国DAX</w:t>
      </w:r>
      <w:r w:rsidR="007F6142">
        <w:rPr>
          <w:rFonts w:ascii="仿宋" w:eastAsia="仿宋" w:hAnsi="仿宋" w:hint="eastAsia"/>
          <w:sz w:val="24"/>
          <w:szCs w:val="24"/>
        </w:rPr>
        <w:t>上涨</w:t>
      </w:r>
      <w:r w:rsidR="00E86CA0">
        <w:rPr>
          <w:rFonts w:ascii="仿宋" w:eastAsia="仿宋" w:hAnsi="仿宋"/>
          <w:sz w:val="24"/>
          <w:szCs w:val="24"/>
        </w:rPr>
        <w:t>2.45</w:t>
      </w:r>
      <w:r>
        <w:rPr>
          <w:rFonts w:ascii="仿宋" w:eastAsia="仿宋" w:hAnsi="仿宋"/>
          <w:sz w:val="24"/>
          <w:szCs w:val="24"/>
        </w:rPr>
        <w:t>%，法国CAC40</w:t>
      </w:r>
      <w:r w:rsidR="00CC6FA3">
        <w:rPr>
          <w:rFonts w:ascii="仿宋" w:eastAsia="仿宋" w:hAnsi="仿宋" w:hint="eastAsia"/>
          <w:sz w:val="24"/>
          <w:szCs w:val="24"/>
        </w:rPr>
        <w:t>下跌</w:t>
      </w:r>
      <w:r w:rsidR="00105CFF">
        <w:rPr>
          <w:rFonts w:ascii="仿宋" w:eastAsia="仿宋" w:hAnsi="仿宋"/>
          <w:sz w:val="24"/>
          <w:szCs w:val="24"/>
        </w:rPr>
        <w:t>3</w:t>
      </w:r>
      <w:r w:rsidR="00CC6FA3">
        <w:rPr>
          <w:rFonts w:ascii="仿宋" w:eastAsia="仿宋" w:hAnsi="仿宋"/>
          <w:sz w:val="24"/>
          <w:szCs w:val="24"/>
        </w:rPr>
        <w:t>.</w:t>
      </w:r>
      <w:r w:rsidR="00E86CA0">
        <w:rPr>
          <w:rFonts w:ascii="仿宋" w:eastAsia="仿宋" w:hAnsi="仿宋"/>
          <w:sz w:val="24"/>
          <w:szCs w:val="24"/>
        </w:rPr>
        <w:t>56</w:t>
      </w:r>
      <w:r w:rsidR="007F6142"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/>
          <w:sz w:val="24"/>
          <w:szCs w:val="24"/>
        </w:rPr>
        <w:t>；亚太股市方面，日经指</w:t>
      </w:r>
      <w:r w:rsidR="00A244CB">
        <w:rPr>
          <w:rFonts w:ascii="仿宋" w:eastAsia="仿宋" w:hAnsi="仿宋" w:hint="eastAsia"/>
          <w:sz w:val="24"/>
          <w:szCs w:val="24"/>
        </w:rPr>
        <w:t>数</w:t>
      </w:r>
      <w:r w:rsidR="00E86CA0">
        <w:rPr>
          <w:rFonts w:ascii="仿宋" w:eastAsia="仿宋" w:hAnsi="仿宋" w:hint="eastAsia"/>
          <w:sz w:val="24"/>
          <w:szCs w:val="24"/>
        </w:rPr>
        <w:t>下跌</w:t>
      </w:r>
      <w:r w:rsidR="00E86CA0">
        <w:rPr>
          <w:rFonts w:ascii="仿宋" w:eastAsia="仿宋" w:hAnsi="仿宋"/>
          <w:sz w:val="24"/>
          <w:szCs w:val="24"/>
        </w:rPr>
        <w:t>0.59</w:t>
      </w:r>
      <w:r>
        <w:rPr>
          <w:rFonts w:ascii="仿宋" w:eastAsia="仿宋" w:hAnsi="仿宋"/>
          <w:sz w:val="24"/>
          <w:szCs w:val="24"/>
        </w:rPr>
        <w:t>%，恒生指数</w:t>
      </w:r>
      <w:r w:rsidR="00CC6FA3">
        <w:rPr>
          <w:rFonts w:ascii="仿宋" w:eastAsia="仿宋" w:hAnsi="仿宋" w:hint="eastAsia"/>
          <w:sz w:val="24"/>
          <w:szCs w:val="24"/>
        </w:rPr>
        <w:t>上涨</w:t>
      </w:r>
      <w:r w:rsidR="00E86CA0">
        <w:rPr>
          <w:rFonts w:ascii="仿宋" w:eastAsia="仿宋" w:hAnsi="仿宋"/>
          <w:sz w:val="24"/>
          <w:szCs w:val="24"/>
        </w:rPr>
        <w:t>4.20</w:t>
      </w:r>
      <w:r w:rsidR="000D20EF">
        <w:rPr>
          <w:rFonts w:ascii="仿宋" w:eastAsia="仿宋" w:hAnsi="仿宋"/>
          <w:sz w:val="24"/>
          <w:szCs w:val="24"/>
        </w:rPr>
        <w:t>%</w:t>
      </w:r>
      <w:r>
        <w:rPr>
          <w:rFonts w:ascii="仿宋" w:eastAsia="仿宋" w:hAnsi="仿宋"/>
          <w:sz w:val="24"/>
          <w:szCs w:val="24"/>
        </w:rPr>
        <w:t>。</w:t>
      </w:r>
    </w:p>
    <w:p w14:paraId="43E7E2E8" w14:textId="73777284" w:rsidR="00E86CA0" w:rsidRDefault="00E86CA0" w:rsidP="00D44874">
      <w:pPr>
        <w:spacing w:line="360" w:lineRule="auto"/>
        <w:jc w:val="center"/>
        <w:rPr>
          <w:rFonts w:ascii="黑体" w:eastAsia="黑体" w:hAnsi="黑体"/>
          <w:noProof/>
          <w:szCs w:val="21"/>
        </w:rPr>
      </w:pPr>
    </w:p>
    <w:p w14:paraId="1DC64E76" w14:textId="27AA0AC2" w:rsidR="00703527" w:rsidRDefault="00E86CA0" w:rsidP="00D44874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lastRenderedPageBreak/>
        <w:drawing>
          <wp:anchor distT="0" distB="0" distL="114300" distR="114300" simplePos="0" relativeHeight="251729920" behindDoc="0" locked="0" layoutInCell="1" allowOverlap="1" wp14:anchorId="778434A3" wp14:editId="4599BAE1">
            <wp:simplePos x="0" y="0"/>
            <wp:positionH relativeFrom="column">
              <wp:posOffset>821690</wp:posOffset>
            </wp:positionH>
            <wp:positionV relativeFrom="paragraph">
              <wp:posOffset>413385</wp:posOffset>
            </wp:positionV>
            <wp:extent cx="4632960" cy="2779395"/>
            <wp:effectExtent l="0" t="0" r="0" b="1905"/>
            <wp:wrapTopAndBottom/>
            <wp:docPr id="15546628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662856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2B7">
        <w:rPr>
          <w:rFonts w:ascii="黑体" w:eastAsia="黑体" w:hAnsi="黑体" w:hint="eastAsia"/>
          <w:szCs w:val="21"/>
        </w:rPr>
        <w:t>图</w:t>
      </w:r>
      <w:r w:rsidR="00EB3C08">
        <w:rPr>
          <w:rFonts w:ascii="黑体" w:eastAsia="黑体" w:hAnsi="黑体" w:hint="eastAsia"/>
          <w:szCs w:val="21"/>
        </w:rPr>
        <w:t>1</w:t>
      </w:r>
      <w:r w:rsidR="00EB3C08">
        <w:rPr>
          <w:rFonts w:ascii="黑体" w:eastAsia="黑体" w:hAnsi="黑体"/>
          <w:szCs w:val="21"/>
        </w:rPr>
        <w:t>1</w:t>
      </w:r>
      <w:r w:rsidR="00A932B7">
        <w:rPr>
          <w:rFonts w:ascii="黑体" w:eastAsia="黑体" w:hAnsi="黑体" w:hint="eastAsia"/>
          <w:szCs w:val="21"/>
        </w:rPr>
        <w:t>：</w:t>
      </w:r>
      <w:r w:rsidR="00A3608A">
        <w:rPr>
          <w:rFonts w:ascii="黑体" w:eastAsia="黑体" w:hAnsi="黑体"/>
          <w:szCs w:val="21"/>
        </w:rPr>
        <w:t>上</w:t>
      </w:r>
      <w:r w:rsidR="00A932B7">
        <w:rPr>
          <w:rFonts w:ascii="黑体" w:eastAsia="黑体" w:hAnsi="黑体" w:hint="eastAsia"/>
          <w:szCs w:val="21"/>
        </w:rPr>
        <w:t>周海外主要指数涨跌</w:t>
      </w:r>
      <w:bookmarkStart w:id="1" w:name="_Hlk128312421"/>
    </w:p>
    <w:p w14:paraId="011DC1B5" w14:textId="6BB8B2A3" w:rsidR="00CC6FA3" w:rsidRPr="00E86CA0" w:rsidRDefault="00CC6FA3" w:rsidP="00D44874">
      <w:pPr>
        <w:spacing w:line="360" w:lineRule="auto"/>
        <w:jc w:val="center"/>
        <w:rPr>
          <w:rFonts w:ascii="黑体" w:eastAsia="黑体" w:hAnsi="黑体"/>
          <w:szCs w:val="21"/>
        </w:rPr>
      </w:pPr>
    </w:p>
    <w:p w14:paraId="237A300E" w14:textId="31CC9AFD" w:rsidR="00686DF7" w:rsidRDefault="00A932B7" w:rsidP="00AC6462">
      <w:pPr>
        <w:spacing w:line="360" w:lineRule="auto"/>
        <w:ind w:firstLineChars="400" w:firstLine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 w:hint="eastAsia"/>
          <w:szCs w:val="21"/>
        </w:rPr>
        <w:t>鑫</w:t>
      </w:r>
      <w:proofErr w:type="gramEnd"/>
      <w:r>
        <w:rPr>
          <w:rFonts w:ascii="仿宋" w:eastAsia="仿宋" w:hAnsi="仿宋" w:hint="eastAsia"/>
          <w:szCs w:val="21"/>
        </w:rPr>
        <w:t>元基金</w:t>
      </w:r>
      <w:bookmarkEnd w:id="1"/>
    </w:p>
    <w:p w14:paraId="09FB7B05" w14:textId="1CCFB558" w:rsidR="00383A48" w:rsidRDefault="00A932B7">
      <w:pPr>
        <w:spacing w:line="360" w:lineRule="auto"/>
        <w:ind w:firstLine="480"/>
        <w:rPr>
          <w:rFonts w:ascii="楷体" w:eastAsia="楷体" w:hAnsi="楷体"/>
          <w:b/>
          <w:sz w:val="24"/>
          <w:szCs w:val="24"/>
        </w:rPr>
      </w:pPr>
      <w:r w:rsidRPr="00686DF7">
        <w:rPr>
          <w:rFonts w:ascii="楷体" w:eastAsia="楷体" w:hAnsi="楷体" w:hint="eastAsia"/>
          <w:b/>
          <w:sz w:val="24"/>
          <w:szCs w:val="24"/>
        </w:rPr>
        <w:t>（二）资金市场</w:t>
      </w:r>
    </w:p>
    <w:p w14:paraId="00D61D72" w14:textId="74ED6AD8" w:rsidR="00EF78EC" w:rsidRDefault="00FD4177" w:rsidP="005660B3">
      <w:pPr>
        <w:spacing w:line="360" w:lineRule="auto"/>
        <w:ind w:firstLineChars="200" w:firstLine="482"/>
        <w:rPr>
          <w:rFonts w:ascii="仿宋" w:eastAsia="仿宋" w:hAnsi="仿宋"/>
          <w:bCs/>
          <w:sz w:val="24"/>
          <w:szCs w:val="24"/>
        </w:rPr>
      </w:pPr>
      <w:r w:rsidRPr="00FD4177">
        <w:rPr>
          <w:rFonts w:ascii="仿宋" w:eastAsia="仿宋" w:hAnsi="仿宋" w:hint="eastAsia"/>
          <w:b/>
          <w:sz w:val="24"/>
          <w:szCs w:val="24"/>
        </w:rPr>
        <w:t>公开市场操作：</w:t>
      </w:r>
      <w:r w:rsidR="00745FA4" w:rsidRPr="00745FA4">
        <w:rPr>
          <w:rFonts w:ascii="仿宋" w:eastAsia="仿宋" w:hAnsi="仿宋" w:hint="eastAsia"/>
          <w:bCs/>
          <w:sz w:val="24"/>
          <w:szCs w:val="24"/>
        </w:rPr>
        <w:t>上周央行进行19770亿元逆回购操作和1200亿元国库现金定存发行，有15670亿元逆回购到期和1800亿元国库现金定存到期，实现净投放3500亿元</w:t>
      </w:r>
      <w:r w:rsidR="007974F4" w:rsidRPr="007974F4">
        <w:rPr>
          <w:rFonts w:ascii="仿宋" w:eastAsia="仿宋" w:hAnsi="仿宋" w:hint="eastAsia"/>
          <w:bCs/>
          <w:sz w:val="24"/>
          <w:szCs w:val="24"/>
        </w:rPr>
        <w:t>。</w:t>
      </w:r>
    </w:p>
    <w:p w14:paraId="36C2264E" w14:textId="6D153928" w:rsidR="004A0EF5" w:rsidRDefault="00A932B7" w:rsidP="00A26804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</w:t>
      </w:r>
      <w:r w:rsidR="00EB3C08">
        <w:rPr>
          <w:rFonts w:ascii="黑体" w:eastAsia="黑体" w:hAnsi="黑体" w:hint="eastAsia"/>
          <w:szCs w:val="21"/>
        </w:rPr>
        <w:t>1</w:t>
      </w:r>
      <w:r w:rsidR="00EB3C08">
        <w:rPr>
          <w:rFonts w:ascii="黑体" w:eastAsia="黑体" w:hAnsi="黑体"/>
          <w:szCs w:val="21"/>
        </w:rPr>
        <w:t>2</w:t>
      </w:r>
      <w:r>
        <w:rPr>
          <w:rFonts w:ascii="黑体" w:eastAsia="黑体" w:hAnsi="黑体" w:hint="eastAsia"/>
          <w:szCs w:val="21"/>
        </w:rPr>
        <w:t>：</w:t>
      </w:r>
      <w:r w:rsidR="00A3608A">
        <w:rPr>
          <w:rFonts w:ascii="黑体" w:eastAsia="黑体" w:hAnsi="黑体"/>
          <w:szCs w:val="21"/>
        </w:rPr>
        <w:t>上</w:t>
      </w:r>
      <w:r>
        <w:rPr>
          <w:rFonts w:ascii="黑体" w:eastAsia="黑体" w:hAnsi="黑体" w:hint="eastAsia"/>
          <w:szCs w:val="21"/>
        </w:rPr>
        <w:t>周公开市场操作情况</w:t>
      </w:r>
    </w:p>
    <w:p w14:paraId="1A5CA6CD" w14:textId="3CB88BC0" w:rsidR="00BD416E" w:rsidRPr="00BD416E" w:rsidRDefault="00745FA4" w:rsidP="00A26804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noProof/>
        </w:rPr>
        <w:drawing>
          <wp:inline distT="0" distB="0" distL="0" distR="0" wp14:anchorId="0ED61740" wp14:editId="3F7E13F9">
            <wp:extent cx="4742688" cy="2507507"/>
            <wp:effectExtent l="0" t="0" r="1270" b="7620"/>
            <wp:docPr id="9558862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155" cy="2508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B82EB0" w14:textId="3F29FBCF" w:rsidR="00D52F32" w:rsidRPr="00686DF7" w:rsidRDefault="00A932B7" w:rsidP="00686DF7">
      <w:pPr>
        <w:spacing w:line="360" w:lineRule="auto"/>
        <w:ind w:firstLineChars="400" w:firstLine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 w:hint="eastAsia"/>
          <w:szCs w:val="21"/>
        </w:rPr>
        <w:t>鑫</w:t>
      </w:r>
      <w:proofErr w:type="gramEnd"/>
      <w:r>
        <w:rPr>
          <w:rFonts w:ascii="仿宋" w:eastAsia="仿宋" w:hAnsi="仿宋" w:hint="eastAsia"/>
          <w:szCs w:val="21"/>
        </w:rPr>
        <w:t>元基金</w:t>
      </w:r>
    </w:p>
    <w:p w14:paraId="37DA2222" w14:textId="0E09144A" w:rsidR="00383A48" w:rsidRDefault="00D52F32" w:rsidP="00D52F32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D52F32">
        <w:rPr>
          <w:rFonts w:ascii="仿宋" w:eastAsia="仿宋" w:hAnsi="仿宋" w:hint="eastAsia"/>
          <w:b/>
          <w:sz w:val="24"/>
          <w:szCs w:val="24"/>
        </w:rPr>
        <w:t>政府债发行：</w:t>
      </w:r>
      <w:r w:rsidR="00745FA4" w:rsidRPr="00745FA4">
        <w:rPr>
          <w:rFonts w:ascii="仿宋" w:eastAsia="仿宋" w:hAnsi="仿宋" w:hint="eastAsia"/>
          <w:bCs/>
          <w:sz w:val="24"/>
          <w:szCs w:val="24"/>
        </w:rPr>
        <w:t>本周国债计划发行580亿元，地方政府</w:t>
      </w:r>
      <w:proofErr w:type="gramStart"/>
      <w:r w:rsidR="00745FA4" w:rsidRPr="00745FA4">
        <w:rPr>
          <w:rFonts w:ascii="仿宋" w:eastAsia="仿宋" w:hAnsi="仿宋" w:hint="eastAsia"/>
          <w:bCs/>
          <w:sz w:val="24"/>
          <w:szCs w:val="24"/>
        </w:rPr>
        <w:t>债计划</w:t>
      </w:r>
      <w:proofErr w:type="gramEnd"/>
      <w:r w:rsidR="00745FA4" w:rsidRPr="00745FA4">
        <w:rPr>
          <w:rFonts w:ascii="仿宋" w:eastAsia="仿宋" w:hAnsi="仿宋" w:hint="eastAsia"/>
          <w:bCs/>
          <w:sz w:val="24"/>
          <w:szCs w:val="24"/>
        </w:rPr>
        <w:t>发行2455.6亿元，整体净缴款63.5亿元</w:t>
      </w:r>
      <w:r w:rsidRPr="00D52F32">
        <w:rPr>
          <w:rFonts w:ascii="仿宋" w:eastAsia="仿宋" w:hAnsi="仿宋" w:hint="eastAsia"/>
          <w:bCs/>
          <w:sz w:val="24"/>
          <w:szCs w:val="24"/>
        </w:rPr>
        <w:t>。</w:t>
      </w:r>
    </w:p>
    <w:p w14:paraId="465C39A5" w14:textId="236A929B" w:rsidR="00383A48" w:rsidRDefault="00EB3C08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表1</w:t>
      </w:r>
      <w:r w:rsidR="00A932B7">
        <w:rPr>
          <w:rFonts w:ascii="黑体" w:eastAsia="黑体" w:hAnsi="黑体" w:hint="eastAsia"/>
          <w:szCs w:val="21"/>
        </w:rPr>
        <w:t>：</w:t>
      </w:r>
      <w:r w:rsidR="008C1986" w:rsidRPr="008C1986">
        <w:rPr>
          <w:rFonts w:ascii="黑体" w:eastAsia="黑体" w:hAnsi="黑体" w:hint="eastAsia"/>
          <w:szCs w:val="21"/>
        </w:rPr>
        <w:t>1月</w:t>
      </w:r>
      <w:r w:rsidR="00745FA4">
        <w:rPr>
          <w:rFonts w:ascii="黑体" w:eastAsia="黑体" w:hAnsi="黑体"/>
          <w:szCs w:val="21"/>
        </w:rPr>
        <w:t>29</w:t>
      </w:r>
      <w:r w:rsidR="008C1986" w:rsidRPr="008C1986">
        <w:rPr>
          <w:rFonts w:ascii="黑体" w:eastAsia="黑体" w:hAnsi="黑体" w:hint="eastAsia"/>
          <w:szCs w:val="21"/>
        </w:rPr>
        <w:t>日-</w:t>
      </w:r>
      <w:r w:rsidR="00745FA4">
        <w:rPr>
          <w:rFonts w:ascii="黑体" w:eastAsia="黑体" w:hAnsi="黑体"/>
          <w:szCs w:val="21"/>
        </w:rPr>
        <w:t>2</w:t>
      </w:r>
      <w:r w:rsidR="008C1986" w:rsidRPr="008C1986">
        <w:rPr>
          <w:rFonts w:ascii="黑体" w:eastAsia="黑体" w:hAnsi="黑体" w:hint="eastAsia"/>
          <w:szCs w:val="21"/>
        </w:rPr>
        <w:t>月</w:t>
      </w:r>
      <w:r w:rsidR="00745FA4">
        <w:rPr>
          <w:rFonts w:ascii="黑体" w:eastAsia="黑体" w:hAnsi="黑体"/>
          <w:szCs w:val="21"/>
        </w:rPr>
        <w:t>2</w:t>
      </w:r>
      <w:r w:rsidR="008C1986" w:rsidRPr="008C1986">
        <w:rPr>
          <w:rFonts w:ascii="黑体" w:eastAsia="黑体" w:hAnsi="黑体" w:hint="eastAsia"/>
          <w:szCs w:val="21"/>
        </w:rPr>
        <w:t>日</w:t>
      </w:r>
      <w:r w:rsidR="00A932B7">
        <w:rPr>
          <w:rFonts w:ascii="黑体" w:eastAsia="黑体" w:hAnsi="黑体" w:hint="eastAsia"/>
          <w:szCs w:val="21"/>
        </w:rPr>
        <w:t>政府债发行缴款</w:t>
      </w:r>
    </w:p>
    <w:p w14:paraId="65E310B0" w14:textId="63BFCEEA" w:rsidR="008057FE" w:rsidRPr="00164806" w:rsidRDefault="00A932B7" w:rsidP="005A31D5">
      <w:pPr>
        <w:ind w:right="630"/>
        <w:jc w:val="righ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单位：亿元</w:t>
      </w:r>
    </w:p>
    <w:tbl>
      <w:tblPr>
        <w:tblStyle w:val="2-221"/>
        <w:tblW w:w="8931" w:type="dxa"/>
        <w:jc w:val="center"/>
        <w:tblLook w:val="04A0" w:firstRow="1" w:lastRow="0" w:firstColumn="1" w:lastColumn="0" w:noHBand="0" w:noVBand="1"/>
      </w:tblPr>
      <w:tblGrid>
        <w:gridCol w:w="847"/>
        <w:gridCol w:w="775"/>
        <w:gridCol w:w="816"/>
        <w:gridCol w:w="684"/>
        <w:gridCol w:w="816"/>
        <w:gridCol w:w="745"/>
        <w:gridCol w:w="842"/>
        <w:gridCol w:w="873"/>
        <w:gridCol w:w="839"/>
        <w:gridCol w:w="716"/>
        <w:gridCol w:w="978"/>
      </w:tblGrid>
      <w:tr w:rsidR="00745FA4" w:rsidRPr="00107B5E" w14:paraId="07111152" w14:textId="76EFE630" w:rsidTr="00745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vMerge w:val="restart"/>
            <w:tcBorders>
              <w:top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BE4D5"/>
          </w:tcPr>
          <w:p w14:paraId="6906BC78" w14:textId="77777777" w:rsidR="00745FA4" w:rsidRPr="00107B5E" w:rsidRDefault="00745FA4" w:rsidP="00745FA4">
            <w:pPr>
              <w:jc w:val="center"/>
              <w:rPr>
                <w:rFonts w:asciiTheme="majorEastAsia" w:eastAsiaTheme="majorEastAsia" w:hAnsiTheme="majorEastAsia" w:cs="Times New Roman"/>
                <w:b w:val="0"/>
                <w:bCs w:val="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4279416D" w14:textId="2A29E896" w:rsidR="00745FA4" w:rsidRPr="007A20BA" w:rsidRDefault="00745FA4" w:rsidP="00745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1500" w:type="dxa"/>
            <w:gridSpan w:val="2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40CFD9C6" w14:textId="55D31A5D" w:rsidR="00745FA4" w:rsidRPr="007A20BA" w:rsidRDefault="00745FA4" w:rsidP="00745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587" w:type="dxa"/>
            <w:gridSpan w:val="2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00E25F58" w14:textId="13089F62" w:rsidR="00745FA4" w:rsidRPr="007A20BA" w:rsidRDefault="00745FA4" w:rsidP="00745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712" w:type="dxa"/>
            <w:gridSpan w:val="2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3AFF0581" w14:textId="7618D0B5" w:rsidR="00745FA4" w:rsidRPr="007A20BA" w:rsidRDefault="00745FA4" w:rsidP="00745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694" w:type="dxa"/>
            <w:gridSpan w:val="2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6C5EA4AA" w14:textId="2967105F" w:rsidR="00745FA4" w:rsidRDefault="00745FA4" w:rsidP="00745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</w:tr>
      <w:tr w:rsidR="00745FA4" w:rsidRPr="00107B5E" w14:paraId="65FCE045" w14:textId="05E0026D" w:rsidTr="00745F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vMerge/>
            <w:shd w:val="clear" w:color="auto" w:fill="FBE4D5"/>
          </w:tcPr>
          <w:p w14:paraId="34D23A4D" w14:textId="77777777" w:rsidR="00BD416E" w:rsidRPr="00107B5E" w:rsidRDefault="00BD416E" w:rsidP="00BD416E">
            <w:pPr>
              <w:jc w:val="center"/>
              <w:rPr>
                <w:rFonts w:asciiTheme="majorEastAsia" w:eastAsiaTheme="majorEastAsia" w:hAnsiTheme="majorEastAsia" w:cs="Times New Roman"/>
                <w:b w:val="0"/>
                <w:bCs w:val="0"/>
              </w:rPr>
            </w:pPr>
          </w:p>
        </w:tc>
        <w:tc>
          <w:tcPr>
            <w:tcW w:w="775" w:type="dxa"/>
            <w:shd w:val="clear" w:color="auto" w:fill="FBE4D5"/>
          </w:tcPr>
          <w:p w14:paraId="001368B4" w14:textId="43AB8C14" w:rsidR="00BD416E" w:rsidRPr="00107B5E" w:rsidRDefault="00BD416E" w:rsidP="00BD4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theme="minorHAnsi"/>
              </w:rPr>
            </w:pPr>
            <w:r>
              <w:rPr>
                <w:rFonts w:hint="eastAsia"/>
              </w:rPr>
              <w:t>国债</w:t>
            </w:r>
          </w:p>
        </w:tc>
        <w:tc>
          <w:tcPr>
            <w:tcW w:w="816" w:type="dxa"/>
            <w:shd w:val="clear" w:color="auto" w:fill="FBE4D5"/>
          </w:tcPr>
          <w:p w14:paraId="03A474DF" w14:textId="0806E81C" w:rsidR="00BD416E" w:rsidRPr="00107B5E" w:rsidRDefault="00BD416E" w:rsidP="00BD4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theme="minorHAnsi"/>
                <w:sz w:val="20"/>
                <w:szCs w:val="21"/>
              </w:rPr>
            </w:pPr>
            <w:r w:rsidRPr="00906856">
              <w:rPr>
                <w:rFonts w:hint="eastAsia"/>
                <w:sz w:val="20"/>
                <w:szCs w:val="21"/>
              </w:rPr>
              <w:t>地方债</w:t>
            </w:r>
          </w:p>
        </w:tc>
        <w:tc>
          <w:tcPr>
            <w:tcW w:w="684" w:type="dxa"/>
            <w:shd w:val="clear" w:color="auto" w:fill="FBE4D5"/>
          </w:tcPr>
          <w:p w14:paraId="57243A52" w14:textId="734E1034" w:rsidR="00BD416E" w:rsidRPr="00107B5E" w:rsidRDefault="00BD416E" w:rsidP="00BD4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theme="minorHAnsi"/>
              </w:rPr>
            </w:pPr>
            <w:r>
              <w:rPr>
                <w:rFonts w:hint="eastAsia"/>
              </w:rPr>
              <w:t>国债</w:t>
            </w:r>
          </w:p>
        </w:tc>
        <w:tc>
          <w:tcPr>
            <w:tcW w:w="816" w:type="dxa"/>
            <w:shd w:val="clear" w:color="auto" w:fill="FBE4D5"/>
          </w:tcPr>
          <w:p w14:paraId="23DE42D6" w14:textId="206DA9D1" w:rsidR="00BD416E" w:rsidRPr="00107B5E" w:rsidRDefault="00BD416E" w:rsidP="00BD4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theme="minorHAnsi"/>
              </w:rPr>
            </w:pPr>
            <w:r w:rsidRPr="00906856">
              <w:rPr>
                <w:rFonts w:hint="eastAsia"/>
                <w:sz w:val="20"/>
                <w:szCs w:val="21"/>
              </w:rPr>
              <w:t>地方债</w:t>
            </w:r>
          </w:p>
        </w:tc>
        <w:tc>
          <w:tcPr>
            <w:tcW w:w="745" w:type="dxa"/>
            <w:shd w:val="clear" w:color="auto" w:fill="FBE4D5"/>
          </w:tcPr>
          <w:p w14:paraId="20B6D45A" w14:textId="7DBA025C" w:rsidR="00BD416E" w:rsidRPr="00107B5E" w:rsidRDefault="00BD416E" w:rsidP="00BD4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theme="minorHAnsi"/>
              </w:rPr>
            </w:pPr>
            <w:r>
              <w:rPr>
                <w:rFonts w:hint="eastAsia"/>
              </w:rPr>
              <w:t>国债</w:t>
            </w:r>
          </w:p>
        </w:tc>
        <w:tc>
          <w:tcPr>
            <w:tcW w:w="842" w:type="dxa"/>
            <w:shd w:val="clear" w:color="auto" w:fill="FBE4D5"/>
          </w:tcPr>
          <w:p w14:paraId="20FD348C" w14:textId="7729F836" w:rsidR="00BD416E" w:rsidRPr="00107B5E" w:rsidRDefault="00BD416E" w:rsidP="00BD4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theme="minorHAnsi"/>
              </w:rPr>
            </w:pPr>
            <w:r w:rsidRPr="00906856">
              <w:rPr>
                <w:rFonts w:hint="eastAsia"/>
                <w:sz w:val="20"/>
                <w:szCs w:val="21"/>
              </w:rPr>
              <w:t>地方债</w:t>
            </w:r>
          </w:p>
        </w:tc>
        <w:tc>
          <w:tcPr>
            <w:tcW w:w="873" w:type="dxa"/>
            <w:shd w:val="clear" w:color="auto" w:fill="FBE4D5"/>
          </w:tcPr>
          <w:p w14:paraId="04B31E7E" w14:textId="29EE0CEB" w:rsidR="00BD416E" w:rsidRPr="00107B5E" w:rsidRDefault="00BD416E" w:rsidP="00BD4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国债</w:t>
            </w:r>
          </w:p>
        </w:tc>
        <w:tc>
          <w:tcPr>
            <w:tcW w:w="839" w:type="dxa"/>
            <w:shd w:val="clear" w:color="auto" w:fill="FBE4D5"/>
          </w:tcPr>
          <w:p w14:paraId="0EE66198" w14:textId="21BA83E3" w:rsidR="00BD416E" w:rsidRPr="00107B5E" w:rsidRDefault="00BD416E" w:rsidP="00BD4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906856">
              <w:rPr>
                <w:rFonts w:hint="eastAsia"/>
                <w:sz w:val="20"/>
                <w:szCs w:val="21"/>
              </w:rPr>
              <w:t>地方债</w:t>
            </w:r>
          </w:p>
        </w:tc>
        <w:tc>
          <w:tcPr>
            <w:tcW w:w="716" w:type="dxa"/>
            <w:shd w:val="clear" w:color="auto" w:fill="FBE4D5"/>
          </w:tcPr>
          <w:p w14:paraId="67E5D947" w14:textId="3754F918" w:rsidR="00BD416E" w:rsidRPr="007B3BFC" w:rsidRDefault="00BD416E" w:rsidP="00BD4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国债</w:t>
            </w:r>
          </w:p>
        </w:tc>
        <w:tc>
          <w:tcPr>
            <w:tcW w:w="978" w:type="dxa"/>
            <w:shd w:val="clear" w:color="auto" w:fill="FBE4D5"/>
          </w:tcPr>
          <w:p w14:paraId="7DC9BC07" w14:textId="51E4E349" w:rsidR="00BD416E" w:rsidRDefault="00BD416E" w:rsidP="00BD4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6856">
              <w:rPr>
                <w:rFonts w:hint="eastAsia"/>
                <w:sz w:val="20"/>
                <w:szCs w:val="21"/>
              </w:rPr>
              <w:t>地方债</w:t>
            </w:r>
          </w:p>
        </w:tc>
      </w:tr>
      <w:tr w:rsidR="00745FA4" w:rsidRPr="008F4E07" w14:paraId="1B319095" w14:textId="3F3F4DBB" w:rsidTr="00745F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14:paraId="3134A151" w14:textId="77CB2591" w:rsidR="00745FA4" w:rsidRPr="00107B5E" w:rsidRDefault="00745FA4" w:rsidP="00745FA4">
            <w:pPr>
              <w:jc w:val="center"/>
              <w:rPr>
                <w:rFonts w:asciiTheme="majorEastAsia" w:eastAsiaTheme="majorEastAsia" w:hAnsiTheme="majorEastAsia" w:cs="Times New Roman"/>
                <w:b w:val="0"/>
                <w:bCs w:val="0"/>
              </w:rPr>
            </w:pPr>
            <w:r w:rsidRPr="007B3BFC">
              <w:rPr>
                <w:rFonts w:hint="eastAsia"/>
              </w:rPr>
              <w:t>发行</w:t>
            </w:r>
          </w:p>
        </w:tc>
        <w:tc>
          <w:tcPr>
            <w:tcW w:w="775" w:type="dxa"/>
          </w:tcPr>
          <w:p w14:paraId="4B1D69A1" w14:textId="44FF32F6" w:rsidR="00745FA4" w:rsidRPr="00745FA4" w:rsidRDefault="00745FA4" w:rsidP="0074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0</w:t>
            </w:r>
          </w:p>
        </w:tc>
        <w:tc>
          <w:tcPr>
            <w:tcW w:w="816" w:type="dxa"/>
          </w:tcPr>
          <w:p w14:paraId="426A3116" w14:textId="3FA4DF48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1281.1</w:t>
            </w:r>
          </w:p>
        </w:tc>
        <w:tc>
          <w:tcPr>
            <w:tcW w:w="684" w:type="dxa"/>
          </w:tcPr>
          <w:p w14:paraId="7EE9EC89" w14:textId="03E99AA7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0</w:t>
            </w:r>
          </w:p>
        </w:tc>
        <w:tc>
          <w:tcPr>
            <w:tcW w:w="816" w:type="dxa"/>
          </w:tcPr>
          <w:p w14:paraId="6F2431E9" w14:textId="017EAD9B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100</w:t>
            </w:r>
          </w:p>
        </w:tc>
        <w:tc>
          <w:tcPr>
            <w:tcW w:w="745" w:type="dxa"/>
          </w:tcPr>
          <w:p w14:paraId="5A9BB872" w14:textId="140A6260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0</w:t>
            </w:r>
          </w:p>
        </w:tc>
        <w:tc>
          <w:tcPr>
            <w:tcW w:w="842" w:type="dxa"/>
          </w:tcPr>
          <w:p w14:paraId="22FFD08C" w14:textId="7C5D4DE2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316.2</w:t>
            </w:r>
          </w:p>
        </w:tc>
        <w:tc>
          <w:tcPr>
            <w:tcW w:w="873" w:type="dxa"/>
          </w:tcPr>
          <w:p w14:paraId="125ACCC8" w14:textId="698124D7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0</w:t>
            </w:r>
          </w:p>
        </w:tc>
        <w:tc>
          <w:tcPr>
            <w:tcW w:w="839" w:type="dxa"/>
          </w:tcPr>
          <w:p w14:paraId="63D98B7F" w14:textId="3898FDD9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382.7</w:t>
            </w:r>
          </w:p>
        </w:tc>
        <w:tc>
          <w:tcPr>
            <w:tcW w:w="716" w:type="dxa"/>
          </w:tcPr>
          <w:p w14:paraId="1CDC0C06" w14:textId="5D5AB932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580</w:t>
            </w:r>
          </w:p>
        </w:tc>
        <w:tc>
          <w:tcPr>
            <w:tcW w:w="978" w:type="dxa"/>
          </w:tcPr>
          <w:p w14:paraId="7A95DC11" w14:textId="48702193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</w:rPr>
            </w:pPr>
            <w:r w:rsidRPr="00745FA4">
              <w:rPr>
                <w:rFonts w:ascii="等线" w:eastAsia="等线" w:hAnsi="等线"/>
              </w:rPr>
              <w:t>375.6</w:t>
            </w:r>
          </w:p>
        </w:tc>
      </w:tr>
      <w:tr w:rsidR="00745FA4" w:rsidRPr="008F4E07" w14:paraId="2C5CED60" w14:textId="62286FE9" w:rsidTr="00745F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shd w:val="clear" w:color="auto" w:fill="FBE4D5"/>
          </w:tcPr>
          <w:p w14:paraId="578460E5" w14:textId="44C4DE67" w:rsidR="00745FA4" w:rsidRPr="00107B5E" w:rsidRDefault="00745FA4" w:rsidP="00745FA4">
            <w:pPr>
              <w:jc w:val="center"/>
              <w:rPr>
                <w:rFonts w:asciiTheme="majorEastAsia" w:eastAsiaTheme="majorEastAsia" w:hAnsiTheme="majorEastAsia" w:cs="Times New Roman"/>
                <w:b w:val="0"/>
                <w:bCs w:val="0"/>
              </w:rPr>
            </w:pPr>
            <w:r w:rsidRPr="007B3BFC">
              <w:rPr>
                <w:rFonts w:hint="eastAsia"/>
              </w:rPr>
              <w:t>到期</w:t>
            </w:r>
          </w:p>
        </w:tc>
        <w:tc>
          <w:tcPr>
            <w:tcW w:w="775" w:type="dxa"/>
          </w:tcPr>
          <w:p w14:paraId="0C8616F3" w14:textId="69109EE7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950</w:t>
            </w:r>
          </w:p>
        </w:tc>
        <w:tc>
          <w:tcPr>
            <w:tcW w:w="816" w:type="dxa"/>
          </w:tcPr>
          <w:p w14:paraId="0F2B0F05" w14:textId="309275CC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592.4</w:t>
            </w:r>
          </w:p>
        </w:tc>
        <w:tc>
          <w:tcPr>
            <w:tcW w:w="684" w:type="dxa"/>
          </w:tcPr>
          <w:p w14:paraId="01EBE2C6" w14:textId="7A49372C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0</w:t>
            </w:r>
          </w:p>
        </w:tc>
        <w:tc>
          <w:tcPr>
            <w:tcW w:w="816" w:type="dxa"/>
          </w:tcPr>
          <w:p w14:paraId="516782FF" w14:textId="701395A3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155.6</w:t>
            </w:r>
          </w:p>
        </w:tc>
        <w:tc>
          <w:tcPr>
            <w:tcW w:w="745" w:type="dxa"/>
          </w:tcPr>
          <w:p w14:paraId="0B194BE8" w14:textId="2108C173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0</w:t>
            </w:r>
          </w:p>
        </w:tc>
        <w:tc>
          <w:tcPr>
            <w:tcW w:w="842" w:type="dxa"/>
          </w:tcPr>
          <w:p w14:paraId="6481B089" w14:textId="50AF5307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12</w:t>
            </w:r>
          </w:p>
        </w:tc>
        <w:tc>
          <w:tcPr>
            <w:tcW w:w="873" w:type="dxa"/>
          </w:tcPr>
          <w:p w14:paraId="4F366386" w14:textId="37B98913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0</w:t>
            </w:r>
          </w:p>
        </w:tc>
        <w:tc>
          <w:tcPr>
            <w:tcW w:w="839" w:type="dxa"/>
          </w:tcPr>
          <w:p w14:paraId="6A7167C5" w14:textId="3465995B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557.1</w:t>
            </w:r>
          </w:p>
        </w:tc>
        <w:tc>
          <w:tcPr>
            <w:tcW w:w="716" w:type="dxa"/>
          </w:tcPr>
          <w:p w14:paraId="0722EC0D" w14:textId="2B02637E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0</w:t>
            </w:r>
          </w:p>
        </w:tc>
        <w:tc>
          <w:tcPr>
            <w:tcW w:w="978" w:type="dxa"/>
          </w:tcPr>
          <w:p w14:paraId="445A21AD" w14:textId="0E029E21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</w:rPr>
            </w:pPr>
            <w:r w:rsidRPr="00745FA4">
              <w:rPr>
                <w:rFonts w:ascii="等线" w:eastAsia="等线" w:hAnsi="等线"/>
              </w:rPr>
              <w:t>0</w:t>
            </w:r>
          </w:p>
        </w:tc>
      </w:tr>
      <w:tr w:rsidR="00745FA4" w:rsidRPr="008F4E07" w14:paraId="4D37C19D" w14:textId="50CAB021" w:rsidTr="00745F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</w:tcPr>
          <w:p w14:paraId="040B3460" w14:textId="60C1E5D9" w:rsidR="00745FA4" w:rsidRPr="00107B5E" w:rsidRDefault="00745FA4" w:rsidP="00745FA4">
            <w:pPr>
              <w:jc w:val="center"/>
              <w:rPr>
                <w:rFonts w:asciiTheme="majorEastAsia" w:eastAsiaTheme="majorEastAsia" w:hAnsiTheme="majorEastAsia" w:cs="Times New Roman"/>
                <w:b w:val="0"/>
                <w:bCs w:val="0"/>
              </w:rPr>
            </w:pPr>
            <w:r w:rsidRPr="007B3BFC">
              <w:rPr>
                <w:rFonts w:hint="eastAsia"/>
              </w:rPr>
              <w:t>缴款</w:t>
            </w:r>
          </w:p>
        </w:tc>
        <w:tc>
          <w:tcPr>
            <w:tcW w:w="775" w:type="dxa"/>
          </w:tcPr>
          <w:p w14:paraId="3CE4F8B4" w14:textId="5E5AF5AE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0</w:t>
            </w:r>
          </w:p>
        </w:tc>
        <w:tc>
          <w:tcPr>
            <w:tcW w:w="816" w:type="dxa"/>
          </w:tcPr>
          <w:p w14:paraId="3725E337" w14:textId="47363430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250.6</w:t>
            </w:r>
          </w:p>
        </w:tc>
        <w:tc>
          <w:tcPr>
            <w:tcW w:w="684" w:type="dxa"/>
          </w:tcPr>
          <w:p w14:paraId="438A75F2" w14:textId="23FD1397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0</w:t>
            </w:r>
          </w:p>
        </w:tc>
        <w:tc>
          <w:tcPr>
            <w:tcW w:w="816" w:type="dxa"/>
          </w:tcPr>
          <w:p w14:paraId="31DB8AE6" w14:textId="7C6F6E8C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1281.1</w:t>
            </w:r>
          </w:p>
        </w:tc>
        <w:tc>
          <w:tcPr>
            <w:tcW w:w="745" w:type="dxa"/>
          </w:tcPr>
          <w:p w14:paraId="4E6C660E" w14:textId="08A523DC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0</w:t>
            </w:r>
          </w:p>
        </w:tc>
        <w:tc>
          <w:tcPr>
            <w:tcW w:w="842" w:type="dxa"/>
          </w:tcPr>
          <w:p w14:paraId="2F941262" w14:textId="148909BD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100</w:t>
            </w:r>
          </w:p>
        </w:tc>
        <w:tc>
          <w:tcPr>
            <w:tcW w:w="873" w:type="dxa"/>
          </w:tcPr>
          <w:p w14:paraId="5924DC5E" w14:textId="114878D5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0</w:t>
            </w:r>
          </w:p>
        </w:tc>
        <w:tc>
          <w:tcPr>
            <w:tcW w:w="839" w:type="dxa"/>
          </w:tcPr>
          <w:p w14:paraId="6D58B3C8" w14:textId="335B2C7C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316.2</w:t>
            </w:r>
          </w:p>
        </w:tc>
        <w:tc>
          <w:tcPr>
            <w:tcW w:w="716" w:type="dxa"/>
          </w:tcPr>
          <w:p w14:paraId="10BDE6B5" w14:textId="122B243D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0</w:t>
            </w:r>
          </w:p>
        </w:tc>
        <w:tc>
          <w:tcPr>
            <w:tcW w:w="978" w:type="dxa"/>
          </w:tcPr>
          <w:p w14:paraId="0AD3CA5E" w14:textId="2D00D4E4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</w:rPr>
            </w:pPr>
            <w:r w:rsidRPr="00745FA4">
              <w:rPr>
                <w:rFonts w:ascii="等线" w:eastAsia="等线" w:hAnsi="等线"/>
              </w:rPr>
              <w:t>382.7</w:t>
            </w:r>
          </w:p>
        </w:tc>
      </w:tr>
      <w:tr w:rsidR="00745FA4" w:rsidRPr="00101ABB" w14:paraId="427F76C4" w14:textId="7A072C98" w:rsidTr="00745F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shd w:val="clear" w:color="auto" w:fill="FBE4D5"/>
          </w:tcPr>
          <w:p w14:paraId="6F0B9360" w14:textId="3B368351" w:rsidR="00745FA4" w:rsidRPr="00107B5E" w:rsidRDefault="00745FA4" w:rsidP="00745FA4">
            <w:pPr>
              <w:jc w:val="center"/>
              <w:rPr>
                <w:rFonts w:asciiTheme="majorEastAsia" w:eastAsiaTheme="majorEastAsia" w:hAnsiTheme="majorEastAsia" w:cs="Times New Roman"/>
                <w:b w:val="0"/>
                <w:bCs w:val="0"/>
              </w:rPr>
            </w:pPr>
            <w:r w:rsidRPr="007B3BFC">
              <w:rPr>
                <w:rFonts w:hint="eastAsia"/>
              </w:rPr>
              <w:t>净缴款</w:t>
            </w:r>
          </w:p>
        </w:tc>
        <w:tc>
          <w:tcPr>
            <w:tcW w:w="1591" w:type="dxa"/>
            <w:gridSpan w:val="2"/>
          </w:tcPr>
          <w:p w14:paraId="2A21C6EF" w14:textId="139E7E10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-1291.8</w:t>
            </w:r>
          </w:p>
        </w:tc>
        <w:tc>
          <w:tcPr>
            <w:tcW w:w="1500" w:type="dxa"/>
            <w:gridSpan w:val="2"/>
          </w:tcPr>
          <w:p w14:paraId="6CD97871" w14:textId="1CD1A840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1125.5</w:t>
            </w:r>
          </w:p>
        </w:tc>
        <w:tc>
          <w:tcPr>
            <w:tcW w:w="1587" w:type="dxa"/>
            <w:gridSpan w:val="2"/>
          </w:tcPr>
          <w:p w14:paraId="6DEE7B0A" w14:textId="06B0EF68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88</w:t>
            </w:r>
          </w:p>
        </w:tc>
        <w:tc>
          <w:tcPr>
            <w:tcW w:w="1712" w:type="dxa"/>
            <w:gridSpan w:val="2"/>
          </w:tcPr>
          <w:p w14:paraId="3AFE73C8" w14:textId="571C5DF8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-240.9</w:t>
            </w:r>
          </w:p>
        </w:tc>
        <w:tc>
          <w:tcPr>
            <w:tcW w:w="1694" w:type="dxa"/>
            <w:gridSpan w:val="2"/>
          </w:tcPr>
          <w:p w14:paraId="0046C91F" w14:textId="54FE1787" w:rsidR="00745FA4" w:rsidRPr="00745FA4" w:rsidRDefault="00745FA4" w:rsidP="00745FA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745FA4">
              <w:rPr>
                <w:rFonts w:ascii="等线" w:eastAsia="等线" w:hAnsi="等线"/>
              </w:rPr>
              <w:t>382.7</w:t>
            </w:r>
          </w:p>
        </w:tc>
      </w:tr>
    </w:tbl>
    <w:p w14:paraId="16270887" w14:textId="47FAD059" w:rsidR="00383A48" w:rsidRPr="00C70EE2" w:rsidRDefault="00A932B7" w:rsidP="00C70EE2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 w:hint="eastAsia"/>
          <w:szCs w:val="21"/>
        </w:rPr>
        <w:t>鑫</w:t>
      </w:r>
      <w:proofErr w:type="gramEnd"/>
      <w:r>
        <w:rPr>
          <w:rFonts w:ascii="仿宋" w:eastAsia="仿宋" w:hAnsi="仿宋" w:hint="eastAsia"/>
          <w:szCs w:val="21"/>
        </w:rPr>
        <w:t>元基金</w:t>
      </w:r>
    </w:p>
    <w:p w14:paraId="727EDBFC" w14:textId="379D0E71" w:rsidR="00383A48" w:rsidRDefault="00A932B7">
      <w:pPr>
        <w:spacing w:line="360" w:lineRule="auto"/>
        <w:ind w:firstLineChars="200" w:firstLine="482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同业存单发行：</w:t>
      </w:r>
      <w:r w:rsidR="00745FA4" w:rsidRPr="00745FA4">
        <w:rPr>
          <w:rFonts w:ascii="仿宋" w:eastAsia="仿宋" w:hAnsi="仿宋" w:hint="eastAsia"/>
          <w:bCs/>
          <w:sz w:val="24"/>
          <w:szCs w:val="24"/>
        </w:rPr>
        <w:t>1月22-26日，1年期AAA同业存单收益率依旧窄幅震荡，</w:t>
      </w:r>
      <w:r w:rsidR="000E0B07">
        <w:rPr>
          <w:rFonts w:ascii="仿宋" w:eastAsia="仿宋" w:hAnsi="仿宋" w:hint="eastAsia"/>
          <w:bCs/>
          <w:sz w:val="24"/>
          <w:szCs w:val="24"/>
        </w:rPr>
        <w:t>上</w:t>
      </w:r>
      <w:r w:rsidR="00745FA4" w:rsidRPr="00745FA4">
        <w:rPr>
          <w:rFonts w:ascii="仿宋" w:eastAsia="仿宋" w:hAnsi="仿宋" w:hint="eastAsia"/>
          <w:bCs/>
          <w:sz w:val="24"/>
          <w:szCs w:val="24"/>
        </w:rPr>
        <w:t>周五收至2.40%，较上周五小幅下行2.5bp。未来三周，同业存单分别到期5651亿元、1574亿元和4881亿元，整体来看到期压力不大</w:t>
      </w:r>
      <w:r w:rsidR="009173EF" w:rsidRPr="009173EF">
        <w:rPr>
          <w:rFonts w:ascii="仿宋" w:eastAsia="仿宋" w:hAnsi="仿宋" w:hint="eastAsia"/>
          <w:bCs/>
          <w:sz w:val="24"/>
          <w:szCs w:val="24"/>
        </w:rPr>
        <w:t>。</w:t>
      </w:r>
    </w:p>
    <w:p w14:paraId="56B471B3" w14:textId="77777777" w:rsidR="00A26804" w:rsidRDefault="00A932B7" w:rsidP="00A26804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</w:t>
      </w:r>
      <w:r w:rsidR="00EB3C08">
        <w:rPr>
          <w:rFonts w:ascii="黑体" w:eastAsia="黑体" w:hAnsi="黑体" w:hint="eastAsia"/>
          <w:szCs w:val="21"/>
        </w:rPr>
        <w:t>1</w:t>
      </w:r>
      <w:r w:rsidR="00EB3C08">
        <w:rPr>
          <w:rFonts w:ascii="黑体" w:eastAsia="黑体" w:hAnsi="黑体"/>
          <w:szCs w:val="21"/>
        </w:rPr>
        <w:t>3</w:t>
      </w:r>
      <w:r>
        <w:rPr>
          <w:rFonts w:ascii="黑体" w:eastAsia="黑体" w:hAnsi="黑体" w:hint="eastAsia"/>
          <w:szCs w:val="21"/>
        </w:rPr>
        <w:t>：同业存单到期与发行</w:t>
      </w:r>
    </w:p>
    <w:p w14:paraId="53D14C2C" w14:textId="4D843951" w:rsidR="00A26804" w:rsidRPr="00A26804" w:rsidRDefault="00745FA4" w:rsidP="00A26804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noProof/>
        </w:rPr>
        <w:drawing>
          <wp:inline distT="0" distB="0" distL="0" distR="0" wp14:anchorId="6497AA05" wp14:editId="29627A9A">
            <wp:extent cx="4584700" cy="2554605"/>
            <wp:effectExtent l="0" t="0" r="6350" b="0"/>
            <wp:docPr id="169709494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4699AD" w14:textId="3BB5A008" w:rsidR="00686DF7" w:rsidRPr="00686DF7" w:rsidRDefault="00A932B7" w:rsidP="00686DF7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 w:hint="eastAsia"/>
          <w:szCs w:val="21"/>
        </w:rPr>
        <w:t>鑫</w:t>
      </w:r>
      <w:proofErr w:type="gramEnd"/>
      <w:r>
        <w:rPr>
          <w:rFonts w:ascii="仿宋" w:eastAsia="仿宋" w:hAnsi="仿宋" w:hint="eastAsia"/>
          <w:szCs w:val="21"/>
        </w:rPr>
        <w:t>元基金</w:t>
      </w:r>
    </w:p>
    <w:p w14:paraId="7F74C841" w14:textId="3EBCEF64" w:rsidR="00383A48" w:rsidRDefault="00A932B7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回购市场：</w:t>
      </w:r>
      <w:r w:rsidR="00745FA4" w:rsidRPr="00745FA4">
        <w:rPr>
          <w:rFonts w:ascii="仿宋" w:eastAsia="仿宋" w:hAnsi="仿宋" w:hint="eastAsia"/>
          <w:bCs/>
          <w:sz w:val="24"/>
          <w:szCs w:val="24"/>
        </w:rPr>
        <w:t>临近跨月，资金利率中枢整体小幅抬升，可跨月的7天资金维持较为宽松状态。具体而言，DR001基本在1.7-1.9%之间波动，R001基本在1.8-2.0%区间，二者均值分别较前一周上行6bp、8bp。1月22-26日，银行体系</w:t>
      </w:r>
      <w:proofErr w:type="gramStart"/>
      <w:r w:rsidR="00745FA4" w:rsidRPr="00745FA4">
        <w:rPr>
          <w:rFonts w:ascii="仿宋" w:eastAsia="仿宋" w:hAnsi="仿宋" w:hint="eastAsia"/>
          <w:bCs/>
          <w:sz w:val="24"/>
          <w:szCs w:val="24"/>
        </w:rPr>
        <w:t>日均净融出</w:t>
      </w:r>
      <w:proofErr w:type="gramEnd"/>
      <w:r w:rsidR="00745FA4" w:rsidRPr="00745FA4">
        <w:rPr>
          <w:rFonts w:ascii="仿宋" w:eastAsia="仿宋" w:hAnsi="仿宋" w:hint="eastAsia"/>
          <w:bCs/>
          <w:sz w:val="24"/>
          <w:szCs w:val="24"/>
        </w:rPr>
        <w:t>4.8</w:t>
      </w:r>
      <w:proofErr w:type="gramStart"/>
      <w:r w:rsidR="00745FA4" w:rsidRPr="00745FA4">
        <w:rPr>
          <w:rFonts w:ascii="仿宋" w:eastAsia="仿宋" w:hAnsi="仿宋" w:hint="eastAsia"/>
          <w:bCs/>
          <w:sz w:val="24"/>
          <w:szCs w:val="24"/>
        </w:rPr>
        <w:t>万亿</w:t>
      </w:r>
      <w:proofErr w:type="gramEnd"/>
      <w:r w:rsidR="00745FA4" w:rsidRPr="00745FA4">
        <w:rPr>
          <w:rFonts w:ascii="仿宋" w:eastAsia="仿宋" w:hAnsi="仿宋" w:hint="eastAsia"/>
          <w:bCs/>
          <w:sz w:val="24"/>
          <w:szCs w:val="24"/>
        </w:rPr>
        <w:t>元，与前一周基本持平。周内持续下滑，从</w:t>
      </w:r>
      <w:r w:rsidR="000E0B07">
        <w:rPr>
          <w:rFonts w:ascii="仿宋" w:eastAsia="仿宋" w:hAnsi="仿宋" w:hint="eastAsia"/>
          <w:bCs/>
          <w:sz w:val="24"/>
          <w:szCs w:val="24"/>
        </w:rPr>
        <w:t>上</w:t>
      </w:r>
      <w:r w:rsidR="00745FA4" w:rsidRPr="00745FA4">
        <w:rPr>
          <w:rFonts w:ascii="仿宋" w:eastAsia="仿宋" w:hAnsi="仿宋" w:hint="eastAsia"/>
          <w:bCs/>
          <w:sz w:val="24"/>
          <w:szCs w:val="24"/>
        </w:rPr>
        <w:t>周一和</w:t>
      </w:r>
      <w:r w:rsidR="000E0B07">
        <w:rPr>
          <w:rFonts w:ascii="仿宋" w:eastAsia="仿宋" w:hAnsi="仿宋" w:hint="eastAsia"/>
          <w:bCs/>
          <w:sz w:val="24"/>
          <w:szCs w:val="24"/>
        </w:rPr>
        <w:t>上</w:t>
      </w:r>
      <w:r w:rsidR="00745FA4" w:rsidRPr="00745FA4">
        <w:rPr>
          <w:rFonts w:ascii="仿宋" w:eastAsia="仿宋" w:hAnsi="仿宋" w:hint="eastAsia"/>
          <w:bCs/>
          <w:sz w:val="24"/>
          <w:szCs w:val="24"/>
        </w:rPr>
        <w:t>周二的5</w:t>
      </w:r>
      <w:proofErr w:type="gramStart"/>
      <w:r w:rsidR="00745FA4" w:rsidRPr="00745FA4">
        <w:rPr>
          <w:rFonts w:ascii="仿宋" w:eastAsia="仿宋" w:hAnsi="仿宋" w:hint="eastAsia"/>
          <w:bCs/>
          <w:sz w:val="24"/>
          <w:szCs w:val="24"/>
        </w:rPr>
        <w:t>万亿</w:t>
      </w:r>
      <w:proofErr w:type="gramEnd"/>
      <w:r w:rsidR="00745FA4" w:rsidRPr="00745FA4">
        <w:rPr>
          <w:rFonts w:ascii="仿宋" w:eastAsia="仿宋" w:hAnsi="仿宋" w:hint="eastAsia"/>
          <w:bCs/>
          <w:sz w:val="24"/>
          <w:szCs w:val="24"/>
        </w:rPr>
        <w:t>左右下滑至</w:t>
      </w:r>
      <w:r w:rsidR="000E0B07">
        <w:rPr>
          <w:rFonts w:ascii="仿宋" w:eastAsia="仿宋" w:hAnsi="仿宋" w:hint="eastAsia"/>
          <w:bCs/>
          <w:sz w:val="24"/>
          <w:szCs w:val="24"/>
        </w:rPr>
        <w:t>上</w:t>
      </w:r>
      <w:r w:rsidR="00745FA4" w:rsidRPr="00745FA4">
        <w:rPr>
          <w:rFonts w:ascii="仿宋" w:eastAsia="仿宋" w:hAnsi="仿宋" w:hint="eastAsia"/>
          <w:bCs/>
          <w:sz w:val="24"/>
          <w:szCs w:val="24"/>
        </w:rPr>
        <w:t>周五的4.6</w:t>
      </w:r>
      <w:proofErr w:type="gramStart"/>
      <w:r w:rsidR="00745FA4" w:rsidRPr="00745FA4">
        <w:rPr>
          <w:rFonts w:ascii="仿宋" w:eastAsia="仿宋" w:hAnsi="仿宋" w:hint="eastAsia"/>
          <w:bCs/>
          <w:sz w:val="24"/>
          <w:szCs w:val="24"/>
        </w:rPr>
        <w:t>万亿</w:t>
      </w:r>
      <w:proofErr w:type="gramEnd"/>
      <w:r w:rsidR="007E3C7C" w:rsidRPr="007E3C7C">
        <w:rPr>
          <w:rFonts w:ascii="仿宋" w:eastAsia="仿宋" w:hAnsi="仿宋" w:hint="eastAsia"/>
          <w:bCs/>
          <w:sz w:val="24"/>
          <w:szCs w:val="24"/>
        </w:rPr>
        <w:t>。</w:t>
      </w:r>
    </w:p>
    <w:p w14:paraId="3E335E40" w14:textId="354A4E9F" w:rsidR="00383A48" w:rsidRDefault="00A932B7">
      <w:pPr>
        <w:spacing w:line="360" w:lineRule="auto"/>
        <w:ind w:firstLineChars="200" w:firstLine="482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票据利率：</w:t>
      </w:r>
      <w:r w:rsidR="00745FA4" w:rsidRPr="00745FA4">
        <w:rPr>
          <w:rFonts w:ascii="仿宋" w:eastAsia="仿宋" w:hAnsi="仿宋" w:hint="eastAsia"/>
          <w:bCs/>
          <w:sz w:val="24"/>
          <w:szCs w:val="24"/>
        </w:rPr>
        <w:t>上周票据利率整体呈v型走势。主要原因</w:t>
      </w:r>
      <w:proofErr w:type="gramStart"/>
      <w:r w:rsidR="00745FA4" w:rsidRPr="00745FA4">
        <w:rPr>
          <w:rFonts w:ascii="仿宋" w:eastAsia="仿宋" w:hAnsi="仿宋" w:hint="eastAsia"/>
          <w:bCs/>
          <w:sz w:val="24"/>
          <w:szCs w:val="24"/>
        </w:rPr>
        <w:t>为随着</w:t>
      </w:r>
      <w:proofErr w:type="gramEnd"/>
      <w:r w:rsidR="00745FA4" w:rsidRPr="00745FA4">
        <w:rPr>
          <w:rFonts w:ascii="仿宋" w:eastAsia="仿宋" w:hAnsi="仿宋" w:hint="eastAsia"/>
          <w:bCs/>
          <w:sz w:val="24"/>
          <w:szCs w:val="24"/>
        </w:rPr>
        <w:t>月底逼近，一级市场羸弱的供给，导致配置盘信心逐渐不足，对于卖盘的不断压价也只能被动接受，利率也逐步下行，并且在</w:t>
      </w:r>
      <w:r w:rsidR="000E0B07">
        <w:rPr>
          <w:rFonts w:ascii="仿宋" w:eastAsia="仿宋" w:hAnsi="仿宋" w:hint="eastAsia"/>
          <w:bCs/>
          <w:sz w:val="24"/>
          <w:szCs w:val="24"/>
        </w:rPr>
        <w:t>上</w:t>
      </w:r>
      <w:r w:rsidR="00745FA4" w:rsidRPr="00745FA4">
        <w:rPr>
          <w:rFonts w:ascii="仿宋" w:eastAsia="仿宋" w:hAnsi="仿宋" w:hint="eastAsia"/>
          <w:bCs/>
          <w:sz w:val="24"/>
          <w:szCs w:val="24"/>
        </w:rPr>
        <w:t>周三也突破了1.8%的支撑位，随后在</w:t>
      </w:r>
      <w:r w:rsidR="000E0B07">
        <w:rPr>
          <w:rFonts w:ascii="仿宋" w:eastAsia="仿宋" w:hAnsi="仿宋" w:hint="eastAsia"/>
          <w:bCs/>
          <w:sz w:val="24"/>
          <w:szCs w:val="24"/>
        </w:rPr>
        <w:t>上</w:t>
      </w:r>
      <w:r w:rsidR="00745FA4" w:rsidRPr="00745FA4">
        <w:rPr>
          <w:rFonts w:ascii="仿宋" w:eastAsia="仿宋" w:hAnsi="仿宋" w:hint="eastAsia"/>
          <w:bCs/>
          <w:sz w:val="24"/>
          <w:szCs w:val="24"/>
        </w:rPr>
        <w:t>周四尾盘时随着央行多条利好政策的公布，叠加一级供给稍有起色，买盘重拾信心，收票力度较前半周有所减弱，各期限利率也止跌转涨</w:t>
      </w:r>
      <w:r w:rsidR="0069729E" w:rsidRPr="0069729E">
        <w:rPr>
          <w:rFonts w:ascii="仿宋" w:eastAsia="仿宋" w:hAnsi="仿宋" w:hint="eastAsia"/>
          <w:bCs/>
          <w:sz w:val="24"/>
          <w:szCs w:val="24"/>
        </w:rPr>
        <w:t>。</w:t>
      </w:r>
    </w:p>
    <w:p w14:paraId="4C740F3D" w14:textId="77777777" w:rsidR="000E0B07" w:rsidRPr="00A95CAA" w:rsidRDefault="000E0B07">
      <w:pPr>
        <w:spacing w:line="360" w:lineRule="auto"/>
        <w:ind w:firstLineChars="200" w:firstLine="480"/>
        <w:rPr>
          <w:rFonts w:ascii="仿宋" w:eastAsia="仿宋" w:hAnsi="仿宋" w:hint="eastAsia"/>
          <w:bCs/>
          <w:sz w:val="24"/>
          <w:szCs w:val="24"/>
        </w:rPr>
      </w:pPr>
    </w:p>
    <w:p w14:paraId="53B381CF" w14:textId="0A9581F5" w:rsidR="00383A48" w:rsidRDefault="00A932B7">
      <w:pPr>
        <w:spacing w:line="360" w:lineRule="auto"/>
        <w:ind w:firstLine="480"/>
        <w:rPr>
          <w:rFonts w:ascii="楷体" w:eastAsia="楷体" w:hAnsi="楷体"/>
          <w:b/>
          <w:sz w:val="24"/>
          <w:szCs w:val="24"/>
        </w:rPr>
      </w:pPr>
      <w:r w:rsidRPr="00593233">
        <w:rPr>
          <w:rFonts w:ascii="楷体" w:eastAsia="楷体" w:hAnsi="楷体"/>
          <w:b/>
          <w:sz w:val="24"/>
          <w:szCs w:val="24"/>
        </w:rPr>
        <w:lastRenderedPageBreak/>
        <w:t>（三）债券市场</w:t>
      </w:r>
    </w:p>
    <w:p w14:paraId="1C18C9F6" w14:textId="1319AC5C" w:rsidR="00CC6FA3" w:rsidRDefault="00CD7F56" w:rsidP="00105CFF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730944" behindDoc="0" locked="0" layoutInCell="1" allowOverlap="1" wp14:anchorId="5A5EBE4C" wp14:editId="1A77A66F">
            <wp:simplePos x="0" y="0"/>
            <wp:positionH relativeFrom="column">
              <wp:posOffset>776986</wp:posOffset>
            </wp:positionH>
            <wp:positionV relativeFrom="paragraph">
              <wp:posOffset>397510</wp:posOffset>
            </wp:positionV>
            <wp:extent cx="4584700" cy="2325370"/>
            <wp:effectExtent l="0" t="0" r="6350" b="0"/>
            <wp:wrapTopAndBottom/>
            <wp:docPr id="79195695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32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2B7">
        <w:rPr>
          <w:rFonts w:ascii="黑体" w:eastAsia="黑体" w:hAnsi="黑体" w:hint="eastAsia"/>
          <w:szCs w:val="21"/>
        </w:rPr>
        <w:t>图</w:t>
      </w:r>
      <w:r w:rsidR="00EB3C08">
        <w:rPr>
          <w:rFonts w:ascii="黑体" w:eastAsia="黑体" w:hAnsi="黑体" w:hint="eastAsia"/>
          <w:szCs w:val="21"/>
        </w:rPr>
        <w:t>1</w:t>
      </w:r>
      <w:r w:rsidR="00EB3C08">
        <w:rPr>
          <w:rFonts w:ascii="黑体" w:eastAsia="黑体" w:hAnsi="黑体"/>
          <w:szCs w:val="21"/>
        </w:rPr>
        <w:t>4</w:t>
      </w:r>
      <w:r w:rsidR="00A932B7">
        <w:rPr>
          <w:rFonts w:ascii="黑体" w:eastAsia="黑体" w:hAnsi="黑体" w:hint="eastAsia"/>
          <w:szCs w:val="21"/>
        </w:rPr>
        <w:t>：上周</w:t>
      </w:r>
      <w:proofErr w:type="gramStart"/>
      <w:r w:rsidR="00A932B7">
        <w:rPr>
          <w:rFonts w:ascii="黑体" w:eastAsia="黑体" w:hAnsi="黑体" w:hint="eastAsia"/>
          <w:szCs w:val="21"/>
        </w:rPr>
        <w:t>利率债各期限</w:t>
      </w:r>
      <w:proofErr w:type="gramEnd"/>
      <w:r w:rsidR="00A932B7">
        <w:rPr>
          <w:rFonts w:ascii="黑体" w:eastAsia="黑体" w:hAnsi="黑体" w:hint="eastAsia"/>
          <w:szCs w:val="21"/>
        </w:rPr>
        <w:t>收益率涨跌幅（BP）</w:t>
      </w:r>
    </w:p>
    <w:p w14:paraId="355E71A8" w14:textId="1D70FFFF" w:rsidR="00CD7F56" w:rsidRPr="00CD7F56" w:rsidRDefault="00CD7F56" w:rsidP="00105CFF">
      <w:pPr>
        <w:spacing w:line="360" w:lineRule="auto"/>
        <w:jc w:val="center"/>
        <w:rPr>
          <w:rFonts w:ascii="黑体" w:eastAsia="黑体" w:hAnsi="黑体"/>
          <w:szCs w:val="21"/>
        </w:rPr>
      </w:pPr>
    </w:p>
    <w:p w14:paraId="1733D9A2" w14:textId="2E0991F5" w:rsidR="00686DF7" w:rsidRDefault="00A932B7" w:rsidP="00173A8D">
      <w:pPr>
        <w:spacing w:line="360" w:lineRule="auto"/>
        <w:ind w:firstLineChars="300" w:firstLine="63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、中债估值、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p w14:paraId="1435CE5E" w14:textId="77777777" w:rsidR="00105CFF" w:rsidRPr="00173A8D" w:rsidRDefault="00105CFF" w:rsidP="00173A8D">
      <w:pPr>
        <w:spacing w:line="360" w:lineRule="auto"/>
        <w:ind w:firstLineChars="300" w:firstLine="630"/>
        <w:rPr>
          <w:rFonts w:ascii="仿宋" w:eastAsia="仿宋" w:hAnsi="仿宋"/>
          <w:szCs w:val="21"/>
        </w:rPr>
      </w:pPr>
    </w:p>
    <w:p w14:paraId="73ADFCAD" w14:textId="04F636BB" w:rsidR="00383A48" w:rsidRDefault="00A932B7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</w:t>
      </w:r>
      <w:r w:rsidR="00EB3C08"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>：中债国债期限利差（202</w:t>
      </w:r>
      <w:r w:rsidR="00CD7F56">
        <w:rPr>
          <w:rFonts w:ascii="黑体" w:eastAsia="黑体" w:hAnsi="黑体"/>
          <w:szCs w:val="21"/>
        </w:rPr>
        <w:t>4</w:t>
      </w:r>
      <w:r>
        <w:rPr>
          <w:rFonts w:ascii="黑体" w:eastAsia="黑体" w:hAnsi="黑体" w:hint="eastAsia"/>
          <w:szCs w:val="21"/>
        </w:rPr>
        <w:t>年）</w:t>
      </w:r>
    </w:p>
    <w:tbl>
      <w:tblPr>
        <w:tblW w:w="7304" w:type="dxa"/>
        <w:jc w:val="center"/>
        <w:tblLook w:val="04A0" w:firstRow="1" w:lastRow="0" w:firstColumn="1" w:lastColumn="0" w:noHBand="0" w:noVBand="1"/>
      </w:tblPr>
      <w:tblGrid>
        <w:gridCol w:w="1988"/>
        <w:gridCol w:w="1216"/>
        <w:gridCol w:w="1336"/>
        <w:gridCol w:w="1376"/>
        <w:gridCol w:w="1388"/>
      </w:tblGrid>
      <w:tr w:rsidR="007A7796" w:rsidRPr="001D28F7" w14:paraId="04F0D8BD" w14:textId="77777777" w:rsidTr="001D28F7">
        <w:trPr>
          <w:trHeight w:val="280"/>
          <w:jc w:val="center"/>
        </w:trPr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3FE1F87B" w14:textId="3B1898B0" w:rsidR="007A7796" w:rsidRPr="007A7796" w:rsidRDefault="007A7796" w:rsidP="007A779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A7796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0"/>
                <w:szCs w:val="20"/>
              </w:rPr>
              <w:t>项目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5B0653DC" w14:textId="3E3475D3" w:rsidR="007A7796" w:rsidRPr="007A7796" w:rsidRDefault="007A7796" w:rsidP="007A779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A7796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0"/>
                <w:szCs w:val="20"/>
              </w:rPr>
              <w:t>3-1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1CCBFC36" w14:textId="6E60A2B2" w:rsidR="007A7796" w:rsidRPr="007A7796" w:rsidRDefault="007A7796" w:rsidP="007A779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A7796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0"/>
                <w:szCs w:val="20"/>
              </w:rPr>
              <w:t>5-3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58975C90" w14:textId="3A6DD1D9" w:rsidR="007A7796" w:rsidRPr="007A7796" w:rsidRDefault="007A7796" w:rsidP="007A779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A7796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0"/>
                <w:szCs w:val="20"/>
              </w:rPr>
              <w:t>10-5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FABF8F"/>
              <w:right w:val="single" w:sz="8" w:space="0" w:color="auto"/>
            </w:tcBorders>
            <w:shd w:val="clear" w:color="F79646" w:fill="F79646"/>
            <w:noWrap/>
            <w:vAlign w:val="center"/>
            <w:hideMark/>
          </w:tcPr>
          <w:p w14:paraId="41C6DBF3" w14:textId="155322BE" w:rsidR="007A7796" w:rsidRPr="007A7796" w:rsidRDefault="007A7796" w:rsidP="007A779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A7796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0"/>
                <w:szCs w:val="20"/>
              </w:rPr>
              <w:t>10-R007</w:t>
            </w:r>
          </w:p>
        </w:tc>
      </w:tr>
      <w:tr w:rsidR="00CD7F56" w:rsidRPr="001D28F7" w14:paraId="66D39B85" w14:textId="77777777" w:rsidTr="0068768A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26B78DDF" w14:textId="459B0403" w:rsidR="00CD7F56" w:rsidRPr="008334AF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8334AF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期限利差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6ACA7B3A" w14:textId="1D9987D0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21.62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74E64A64" w14:textId="4F14535C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41C0D4F1" w14:textId="6FCFFFE0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15.53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14:paraId="1DB5E9B6" w14:textId="7EE9864D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-1.08</w:t>
            </w:r>
          </w:p>
        </w:tc>
      </w:tr>
      <w:tr w:rsidR="00CD7F56" w:rsidRPr="00536A73" w14:paraId="64478884" w14:textId="77777777" w:rsidTr="0068768A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5F022431" w14:textId="7277224F" w:rsidR="00CD7F56" w:rsidRPr="008334AF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8334A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环比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703354B3" w14:textId="1C80222B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1.02 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7C453C41" w14:textId="1FE45782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1.71 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072572BE" w14:textId="44CB0914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3.06 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F9081" w14:textId="6B2BB710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-39.71 </w:t>
            </w:r>
          </w:p>
        </w:tc>
      </w:tr>
      <w:tr w:rsidR="00CD7F56" w:rsidRPr="00536A73" w14:paraId="4CE2FC0F" w14:textId="77777777" w:rsidTr="0068768A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274D201F" w14:textId="16530529" w:rsidR="00CD7F56" w:rsidRPr="008334AF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8334A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年初以来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54D61BE1" w14:textId="2B59FDAB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-9.09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34F85FAE" w14:textId="6A9528E8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-13.56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377B60FD" w14:textId="3786AA9C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-3.54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14:paraId="1344AE64" w14:textId="2F825D86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-5.81</w:t>
            </w:r>
          </w:p>
        </w:tc>
      </w:tr>
      <w:tr w:rsidR="00CD7F56" w:rsidRPr="00536A73" w14:paraId="5FCBC73C" w14:textId="77777777" w:rsidTr="0068768A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3AEC9B19" w14:textId="5EB7C3A3" w:rsidR="00CD7F56" w:rsidRPr="008334AF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8334A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2016年以来最大值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2206EB25" w14:textId="492732B6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57.29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7E77B4D7" w14:textId="1BB5C62D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49.88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5161AA78" w14:textId="07444126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74.94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59BEE" w14:textId="451E8165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145.68</w:t>
            </w:r>
          </w:p>
        </w:tc>
      </w:tr>
      <w:tr w:rsidR="00CD7F56" w:rsidRPr="00536A73" w14:paraId="5D5D61F9" w14:textId="77777777" w:rsidTr="0068768A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27A73778" w14:textId="4E6EC8CA" w:rsidR="00CD7F56" w:rsidRPr="008334AF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8334A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2016年以来最小值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5507B4EF" w14:textId="24FB070C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-8.62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23B51376" w14:textId="2D4C3CE1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-3.15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74B85926" w14:textId="01254F2B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-6.03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14:paraId="5F410B5A" w14:textId="28AE64F3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-305.09</w:t>
            </w:r>
          </w:p>
        </w:tc>
      </w:tr>
      <w:tr w:rsidR="00CD7F56" w:rsidRPr="00536A73" w14:paraId="0B114C45" w14:textId="77777777" w:rsidTr="0068768A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628464F9" w14:textId="70F77E96" w:rsidR="00CD7F56" w:rsidRPr="008334AF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8334A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2016年以来平均值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0C22844B" w14:textId="171EEC09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27.22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2339F0F0" w14:textId="18520DBD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15.55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00DCE9CE" w14:textId="6EE55341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17.94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2234F" w14:textId="1F229FA4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54.07</w:t>
            </w:r>
          </w:p>
        </w:tc>
      </w:tr>
      <w:tr w:rsidR="00CD7F56" w:rsidRPr="00536A73" w14:paraId="6AF5092F" w14:textId="77777777" w:rsidTr="0068768A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8" w:space="0" w:color="auto"/>
              <w:right w:val="nil"/>
            </w:tcBorders>
            <w:shd w:val="clear" w:color="FDE9D9" w:fill="FDE9D9"/>
            <w:noWrap/>
            <w:hideMark/>
          </w:tcPr>
          <w:p w14:paraId="31A7A558" w14:textId="0DB4DFDE" w:rsidR="00CD7F56" w:rsidRPr="008334AF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8334A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2016年以来分位数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14:paraId="077EF63E" w14:textId="222B92F8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31.50%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14:paraId="2CB950C3" w14:textId="50E25424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18.94%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14:paraId="5C5C1112" w14:textId="6BF60074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35.01%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8" w:space="0" w:color="auto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14:paraId="5307BD46" w14:textId="58E9E652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8.26%</w:t>
            </w:r>
          </w:p>
        </w:tc>
      </w:tr>
    </w:tbl>
    <w:p w14:paraId="0CC4B1D6" w14:textId="333E0640" w:rsidR="00AB652D" w:rsidRPr="00536A73" w:rsidRDefault="00A932B7" w:rsidP="00536A7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536A73">
        <w:rPr>
          <w:rFonts w:ascii="仿宋" w:eastAsia="仿宋" w:hAnsi="仿宋"/>
          <w:szCs w:val="21"/>
        </w:rPr>
        <w:t>数据来源：Wind，最大、最小、平均值区间均为</w:t>
      </w:r>
      <w:r w:rsidRPr="00536A73">
        <w:rPr>
          <w:rFonts w:ascii="仿宋" w:eastAsia="仿宋" w:hAnsi="仿宋" w:hint="eastAsia"/>
          <w:szCs w:val="21"/>
        </w:rPr>
        <w:t>2</w:t>
      </w:r>
      <w:r w:rsidR="00D37014" w:rsidRPr="00536A73">
        <w:rPr>
          <w:rFonts w:ascii="仿宋" w:eastAsia="仿宋" w:hAnsi="仿宋"/>
          <w:szCs w:val="21"/>
        </w:rPr>
        <w:t>016</w:t>
      </w:r>
      <w:r w:rsidRPr="00536A73">
        <w:rPr>
          <w:rFonts w:ascii="仿宋" w:eastAsia="仿宋" w:hAnsi="仿宋"/>
          <w:szCs w:val="21"/>
        </w:rPr>
        <w:t>年至今</w:t>
      </w:r>
    </w:p>
    <w:p w14:paraId="6CDA066E" w14:textId="77777777" w:rsidR="008334AF" w:rsidRPr="00F10CEF" w:rsidRDefault="008334AF" w:rsidP="008334AF">
      <w:pPr>
        <w:widowControl/>
        <w:jc w:val="center"/>
        <w:rPr>
          <w:rFonts w:ascii="仿宋" w:eastAsia="仿宋" w:hAnsi="仿宋"/>
          <w:szCs w:val="21"/>
        </w:rPr>
      </w:pPr>
    </w:p>
    <w:p w14:paraId="186D94F3" w14:textId="3CDBF306" w:rsidR="00383A48" w:rsidRDefault="002F1EF4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</w:t>
      </w:r>
      <w:r w:rsidR="00EB3C08">
        <w:rPr>
          <w:rFonts w:ascii="黑体" w:eastAsia="黑体" w:hAnsi="黑体" w:hint="eastAsia"/>
          <w:szCs w:val="21"/>
        </w:rPr>
        <w:t>3</w:t>
      </w:r>
      <w:r>
        <w:rPr>
          <w:rFonts w:ascii="黑体" w:eastAsia="黑体" w:hAnsi="黑体" w:hint="eastAsia"/>
          <w:szCs w:val="21"/>
        </w:rPr>
        <w:t>：中债中短期票据信用利</w:t>
      </w:r>
      <w:r w:rsidR="00A932B7">
        <w:rPr>
          <w:rFonts w:ascii="黑体" w:eastAsia="黑体" w:hAnsi="黑体" w:hint="eastAsia"/>
          <w:szCs w:val="21"/>
        </w:rPr>
        <w:t>差（202</w:t>
      </w:r>
      <w:r w:rsidR="00CD7F56">
        <w:rPr>
          <w:rFonts w:ascii="黑体" w:eastAsia="黑体" w:hAnsi="黑体"/>
          <w:szCs w:val="21"/>
        </w:rPr>
        <w:t>4</w:t>
      </w:r>
      <w:r w:rsidR="00793EC0">
        <w:rPr>
          <w:rFonts w:ascii="黑体" w:eastAsia="黑体" w:hAnsi="黑体" w:hint="eastAsia"/>
          <w:szCs w:val="21"/>
        </w:rPr>
        <w:t>年</w:t>
      </w:r>
      <w:r w:rsidR="00A26804">
        <w:rPr>
          <w:rFonts w:ascii="黑体" w:eastAsia="黑体" w:hAnsi="黑体"/>
          <w:szCs w:val="21"/>
        </w:rPr>
        <w:t>1</w:t>
      </w:r>
      <w:r w:rsidR="00A932B7">
        <w:rPr>
          <w:rFonts w:ascii="黑体" w:eastAsia="黑体" w:hAnsi="黑体" w:hint="eastAsia"/>
          <w:szCs w:val="21"/>
        </w:rPr>
        <w:t>月</w:t>
      </w:r>
      <w:r w:rsidR="00CD7F56">
        <w:rPr>
          <w:rFonts w:ascii="黑体" w:eastAsia="黑体" w:hAnsi="黑体"/>
          <w:szCs w:val="21"/>
        </w:rPr>
        <w:t>26</w:t>
      </w:r>
      <w:r w:rsidR="00A932B7">
        <w:rPr>
          <w:rFonts w:ascii="黑体" w:eastAsia="黑体" w:hAnsi="黑体" w:hint="eastAsia"/>
          <w:szCs w:val="21"/>
        </w:rPr>
        <w:t>日）</w:t>
      </w:r>
    </w:p>
    <w:tbl>
      <w:tblPr>
        <w:tblW w:w="8700" w:type="dxa"/>
        <w:jc w:val="center"/>
        <w:tblLook w:val="04A0" w:firstRow="1" w:lastRow="0" w:firstColumn="1" w:lastColumn="0" w:noHBand="0" w:noVBand="1"/>
      </w:tblPr>
      <w:tblGrid>
        <w:gridCol w:w="1988"/>
        <w:gridCol w:w="1216"/>
        <w:gridCol w:w="1336"/>
        <w:gridCol w:w="1376"/>
        <w:gridCol w:w="1396"/>
        <w:gridCol w:w="1388"/>
      </w:tblGrid>
      <w:tr w:rsidR="007A7796" w:rsidRPr="00BF0EF4" w14:paraId="6C14A913" w14:textId="77777777" w:rsidTr="00BF0EF4">
        <w:trPr>
          <w:trHeight w:val="280"/>
          <w:jc w:val="center"/>
        </w:trPr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69B2886B" w14:textId="6DFF8421" w:rsidR="007A7796" w:rsidRPr="007A7796" w:rsidRDefault="007A7796" w:rsidP="007A779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A7796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0"/>
                <w:szCs w:val="20"/>
              </w:rPr>
              <w:t>项目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01285521" w14:textId="18331C00" w:rsidR="007A7796" w:rsidRPr="007A7796" w:rsidRDefault="007A7796" w:rsidP="007A779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A7796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0"/>
                <w:szCs w:val="20"/>
              </w:rPr>
              <w:t>AAA：1Y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035687D1" w14:textId="756AEB54" w:rsidR="007A7796" w:rsidRPr="007A7796" w:rsidRDefault="007A7796" w:rsidP="007A779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A7796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0"/>
                <w:szCs w:val="20"/>
              </w:rPr>
              <w:t>AAA：2Y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29A51294" w14:textId="33ADF6AA" w:rsidR="007A7796" w:rsidRPr="007A7796" w:rsidRDefault="007A7796" w:rsidP="007A779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A7796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0"/>
                <w:szCs w:val="20"/>
              </w:rPr>
              <w:t>AAA：3Y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3CC678D6" w14:textId="30D8D752" w:rsidR="007A7796" w:rsidRPr="007A7796" w:rsidRDefault="007A7796" w:rsidP="007A779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A7796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0"/>
                <w:szCs w:val="20"/>
              </w:rPr>
              <w:t>AAA：4Y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FABF8F"/>
              <w:right w:val="single" w:sz="8" w:space="0" w:color="auto"/>
            </w:tcBorders>
            <w:shd w:val="clear" w:color="F79646" w:fill="F79646"/>
            <w:noWrap/>
            <w:vAlign w:val="center"/>
            <w:hideMark/>
          </w:tcPr>
          <w:p w14:paraId="251685B8" w14:textId="0712E812" w:rsidR="007A7796" w:rsidRPr="007A7796" w:rsidRDefault="007A7796" w:rsidP="007A779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A7796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0"/>
                <w:szCs w:val="20"/>
              </w:rPr>
              <w:t>AAA：5Y</w:t>
            </w:r>
          </w:p>
        </w:tc>
      </w:tr>
      <w:tr w:rsidR="00CD7F56" w:rsidRPr="00BF0EF4" w14:paraId="2D2F2621" w14:textId="77777777" w:rsidTr="000C12A8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6FA737CF" w14:textId="2B25EF22" w:rsidR="00CD7F56" w:rsidRPr="008334AF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8334AF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信用利差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7D14EE6A" w14:textId="49496823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33.16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270B6034" w14:textId="76A6829F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31.13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7A7682EE" w14:textId="04B161DD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29.25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2F89CEB6" w14:textId="483EBCF7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27.28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14:paraId="54CBE579" w14:textId="2EEDF0CD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33.62</w:t>
            </w:r>
          </w:p>
        </w:tc>
      </w:tr>
      <w:tr w:rsidR="00CD7F56" w:rsidRPr="00BF0EF4" w14:paraId="172EAFFD" w14:textId="77777777" w:rsidTr="000C12A8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04D68B4C" w14:textId="2409750A" w:rsidR="00CD7F56" w:rsidRPr="008334AF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8334A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环比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35AA84C7" w14:textId="039D541E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-0.58 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69B49989" w14:textId="29E0B510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0.37 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50731567" w14:textId="023339B6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-2.19 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6A08FB30" w14:textId="7836E28C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-2.93 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95A6B" w14:textId="071F1031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-1.49 </w:t>
            </w:r>
          </w:p>
        </w:tc>
      </w:tr>
      <w:tr w:rsidR="00CD7F56" w:rsidRPr="00BF0EF4" w14:paraId="6446D93C" w14:textId="77777777" w:rsidTr="000C12A8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75222CC9" w14:textId="3EF443F0" w:rsidR="00CD7F56" w:rsidRPr="008334AF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8334A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年初以来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3B1D1DD8" w14:textId="63C466FA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-14.67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670EC700" w14:textId="65A96A37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-21.09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3CF53B8B" w14:textId="1290BBDF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-33.98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26FA1698" w14:textId="46A45EF8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-26.55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14:paraId="6341898D" w14:textId="5BB76231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-33.3</w:t>
            </w:r>
          </w:p>
        </w:tc>
      </w:tr>
      <w:tr w:rsidR="00CD7F56" w:rsidRPr="00BF0EF4" w14:paraId="73DC3EC5" w14:textId="77777777" w:rsidTr="000C12A8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0D08CC09" w14:textId="685C94E3" w:rsidR="00CD7F56" w:rsidRPr="008334AF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8334A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2016年以来最大值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258824B3" w14:textId="78729D94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98.01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72F4C00A" w14:textId="01CD026F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78.03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327837BE" w14:textId="12F310DD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77.29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48FF5475" w14:textId="0DAFEE2B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76.64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7DD95" w14:textId="7BF92426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93.82</w:t>
            </w:r>
          </w:p>
        </w:tc>
      </w:tr>
      <w:tr w:rsidR="00CD7F56" w:rsidRPr="00BF0EF4" w14:paraId="2FCFDB6C" w14:textId="77777777" w:rsidTr="000C12A8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6360FAC2" w14:textId="02B73D77" w:rsidR="00CD7F56" w:rsidRPr="008334AF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8334A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2016年以来最小值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1A80D399" w14:textId="57642445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13.98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5B42565E" w14:textId="4B916E38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5.79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1AF8406C" w14:textId="61757D70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11.66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40CC34C5" w14:textId="64477FDF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13.59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14:paraId="7511329E" w14:textId="224701D9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12.62</w:t>
            </w:r>
          </w:p>
        </w:tc>
      </w:tr>
      <w:tr w:rsidR="00CD7F56" w:rsidRPr="00BF0EF4" w14:paraId="4ACE566D" w14:textId="77777777" w:rsidTr="000C12A8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54219A2C" w14:textId="38AD4DB6" w:rsidR="00CD7F56" w:rsidRPr="008334AF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8334A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2016年以来平均值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28245EF4" w14:textId="54170DC3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47.06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165B8FBC" w14:textId="76BF1904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37.45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51A5D1A6" w14:textId="6C18771B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40.28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6168A98A" w14:textId="2AEFAB20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44.46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D03FB" w14:textId="47643517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45.50</w:t>
            </w:r>
          </w:p>
        </w:tc>
      </w:tr>
      <w:tr w:rsidR="00CD7F56" w:rsidRPr="00BF0EF4" w14:paraId="128FC2B8" w14:textId="77777777" w:rsidTr="000C12A8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8" w:space="0" w:color="auto"/>
              <w:right w:val="nil"/>
            </w:tcBorders>
            <w:shd w:val="clear" w:color="FDE9D9" w:fill="FDE9D9"/>
            <w:noWrap/>
            <w:hideMark/>
          </w:tcPr>
          <w:p w14:paraId="68D66DCF" w14:textId="476E649C" w:rsidR="00CD7F56" w:rsidRPr="008334AF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8334A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2016年以来分位数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14:paraId="053F92B7" w14:textId="6FF3DEE0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20.23%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14:paraId="72EC3B43" w14:textId="76522D56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31.01%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14:paraId="6BAA6FCD" w14:textId="6F8E37D0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13.11%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14:paraId="048FEC0F" w14:textId="27129C92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3.26%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8" w:space="0" w:color="auto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14:paraId="205FB42C" w14:textId="6939E50F" w:rsidR="00CD7F56" w:rsidRPr="00CD7F56" w:rsidRDefault="00CD7F56" w:rsidP="00CD7F5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D7F5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12.76%</w:t>
            </w:r>
          </w:p>
        </w:tc>
      </w:tr>
    </w:tbl>
    <w:p w14:paraId="49C9F630" w14:textId="495395BF" w:rsidR="00383A48" w:rsidRDefault="00A932B7" w:rsidP="00223904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元基金，最大、最小、平均值区间均为</w:t>
      </w:r>
      <w:r>
        <w:rPr>
          <w:rFonts w:ascii="仿宋" w:eastAsia="仿宋" w:hAnsi="仿宋" w:hint="eastAsia"/>
          <w:szCs w:val="21"/>
        </w:rPr>
        <w:t>2</w:t>
      </w:r>
      <w:r w:rsidR="00D37014">
        <w:rPr>
          <w:rFonts w:ascii="仿宋" w:eastAsia="仿宋" w:hAnsi="仿宋"/>
          <w:szCs w:val="21"/>
        </w:rPr>
        <w:t>016</w:t>
      </w:r>
      <w:r>
        <w:rPr>
          <w:rFonts w:ascii="仿宋" w:eastAsia="仿宋" w:hAnsi="仿宋"/>
          <w:szCs w:val="21"/>
        </w:rPr>
        <w:t>至今</w:t>
      </w:r>
    </w:p>
    <w:p w14:paraId="63F65977" w14:textId="7431A99A" w:rsidR="00383A48" w:rsidRDefault="00A932B7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>
        <w:rPr>
          <w:rFonts w:ascii="仿宋" w:eastAsia="仿宋" w:hAnsi="仿宋"/>
          <w:b/>
          <w:sz w:val="24"/>
          <w:szCs w:val="24"/>
        </w:rPr>
        <w:t>周</w:t>
      </w:r>
      <w:r w:rsidR="00CD7F56">
        <w:rPr>
          <w:rFonts w:ascii="仿宋" w:eastAsia="仿宋" w:hAnsi="仿宋" w:hint="eastAsia"/>
          <w:b/>
          <w:sz w:val="24"/>
          <w:szCs w:val="24"/>
        </w:rPr>
        <w:t>除1</w:t>
      </w:r>
      <w:r w:rsidR="00CD7F56">
        <w:rPr>
          <w:rFonts w:ascii="仿宋" w:eastAsia="仿宋" w:hAnsi="仿宋"/>
          <w:b/>
          <w:sz w:val="24"/>
          <w:szCs w:val="24"/>
        </w:rPr>
        <w:t>0</w:t>
      </w:r>
      <w:r w:rsidR="00CD7F56">
        <w:rPr>
          <w:rFonts w:ascii="仿宋" w:eastAsia="仿宋" w:hAnsi="仿宋" w:hint="eastAsia"/>
          <w:b/>
          <w:sz w:val="24"/>
          <w:szCs w:val="24"/>
        </w:rPr>
        <w:t>年期中债国开外</w:t>
      </w:r>
      <w:r w:rsidR="003F4ED6">
        <w:rPr>
          <w:rFonts w:ascii="仿宋" w:eastAsia="仿宋" w:hAnsi="仿宋" w:hint="eastAsia"/>
          <w:b/>
          <w:sz w:val="24"/>
          <w:szCs w:val="24"/>
        </w:rPr>
        <w:t>中债国开</w:t>
      </w:r>
      <w:r w:rsidR="0007705C">
        <w:rPr>
          <w:rFonts w:ascii="仿宋" w:eastAsia="仿宋" w:hAnsi="仿宋" w:hint="eastAsia"/>
          <w:b/>
          <w:sz w:val="24"/>
          <w:szCs w:val="24"/>
        </w:rPr>
        <w:t>和中债国债</w:t>
      </w:r>
      <w:r w:rsidR="00D15303">
        <w:rPr>
          <w:rFonts w:ascii="仿宋" w:eastAsia="仿宋" w:hAnsi="仿宋"/>
          <w:b/>
          <w:sz w:val="24"/>
          <w:szCs w:val="24"/>
        </w:rPr>
        <w:t>收益率</w:t>
      </w:r>
      <w:r w:rsidR="00655998">
        <w:rPr>
          <w:rFonts w:ascii="仿宋" w:eastAsia="仿宋" w:hAnsi="仿宋" w:hint="eastAsia"/>
          <w:b/>
          <w:sz w:val="24"/>
          <w:szCs w:val="24"/>
        </w:rPr>
        <w:t>集体</w:t>
      </w:r>
      <w:r w:rsidR="00105CFF">
        <w:rPr>
          <w:rFonts w:ascii="仿宋" w:eastAsia="仿宋" w:hAnsi="仿宋" w:hint="eastAsia"/>
          <w:b/>
          <w:sz w:val="24"/>
          <w:szCs w:val="24"/>
        </w:rPr>
        <w:t>上</w:t>
      </w:r>
      <w:r w:rsidR="00655998">
        <w:rPr>
          <w:rFonts w:ascii="仿宋" w:eastAsia="仿宋" w:hAnsi="仿宋" w:hint="eastAsia"/>
          <w:b/>
          <w:sz w:val="24"/>
          <w:szCs w:val="24"/>
        </w:rPr>
        <w:t>行</w:t>
      </w:r>
      <w:r>
        <w:rPr>
          <w:rFonts w:ascii="仿宋" w:eastAsia="仿宋" w:hAnsi="仿宋"/>
          <w:b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其中，中债国债1年期收益率</w:t>
      </w:r>
      <w:r w:rsidR="00CD7F56">
        <w:rPr>
          <w:rFonts w:ascii="仿宋" w:eastAsia="仿宋" w:hAnsi="仿宋" w:hint="eastAsia"/>
          <w:sz w:val="24"/>
          <w:szCs w:val="24"/>
        </w:rPr>
        <w:t>下</w:t>
      </w:r>
      <w:r w:rsidR="00CC6FA3">
        <w:rPr>
          <w:rFonts w:ascii="仿宋" w:eastAsia="仿宋" w:hAnsi="仿宋" w:hint="eastAsia"/>
          <w:sz w:val="24"/>
          <w:szCs w:val="24"/>
        </w:rPr>
        <w:t>行</w:t>
      </w:r>
      <w:r w:rsidR="00CD7F56">
        <w:rPr>
          <w:rFonts w:ascii="仿宋" w:eastAsia="仿宋" w:hAnsi="仿宋"/>
          <w:sz w:val="24"/>
          <w:szCs w:val="24"/>
        </w:rPr>
        <w:t>6.12</w:t>
      </w:r>
      <w:r>
        <w:rPr>
          <w:rFonts w:ascii="仿宋" w:eastAsia="仿宋" w:hAnsi="仿宋"/>
          <w:sz w:val="24"/>
          <w:szCs w:val="24"/>
        </w:rPr>
        <w:t>BP</w:t>
      </w:r>
      <w:r>
        <w:rPr>
          <w:rFonts w:ascii="仿宋" w:eastAsia="仿宋" w:hAnsi="仿宋" w:hint="eastAsia"/>
          <w:sz w:val="24"/>
          <w:szCs w:val="24"/>
        </w:rPr>
        <w:t>至</w:t>
      </w:r>
      <w:r w:rsidR="00CC3443">
        <w:rPr>
          <w:rFonts w:ascii="仿宋" w:eastAsia="仿宋" w:hAnsi="仿宋"/>
          <w:sz w:val="24"/>
          <w:szCs w:val="24"/>
        </w:rPr>
        <w:t>2.</w:t>
      </w:r>
      <w:r w:rsidR="00D41BD3">
        <w:rPr>
          <w:rFonts w:ascii="仿宋" w:eastAsia="仿宋" w:hAnsi="仿宋"/>
          <w:sz w:val="24"/>
          <w:szCs w:val="24"/>
        </w:rPr>
        <w:t>0</w:t>
      </w:r>
      <w:r w:rsidR="00CD7F56">
        <w:rPr>
          <w:rFonts w:ascii="仿宋" w:eastAsia="仿宋" w:hAnsi="仿宋"/>
          <w:sz w:val="24"/>
          <w:szCs w:val="24"/>
        </w:rPr>
        <w:t>229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3年期</w:t>
      </w:r>
      <w:r w:rsidR="00CD7F56">
        <w:rPr>
          <w:rFonts w:ascii="仿宋" w:eastAsia="仿宋" w:hAnsi="仿宋" w:hint="eastAsia"/>
          <w:sz w:val="24"/>
          <w:szCs w:val="24"/>
        </w:rPr>
        <w:t>下</w:t>
      </w:r>
      <w:r w:rsidR="00890C76">
        <w:rPr>
          <w:rFonts w:ascii="仿宋" w:eastAsia="仿宋" w:hAnsi="仿宋" w:hint="eastAsia"/>
          <w:sz w:val="24"/>
          <w:szCs w:val="24"/>
        </w:rPr>
        <w:t>行</w:t>
      </w:r>
      <w:r w:rsidR="00CD7F56">
        <w:rPr>
          <w:rFonts w:ascii="仿宋" w:eastAsia="仿宋" w:hAnsi="仿宋"/>
          <w:sz w:val="24"/>
          <w:szCs w:val="24"/>
        </w:rPr>
        <w:t>5.1</w:t>
      </w:r>
      <w:r>
        <w:rPr>
          <w:rFonts w:ascii="仿宋" w:eastAsia="仿宋" w:hAnsi="仿宋"/>
          <w:sz w:val="24"/>
          <w:szCs w:val="24"/>
        </w:rPr>
        <w:t>BP</w:t>
      </w:r>
      <w:r>
        <w:rPr>
          <w:rFonts w:ascii="仿宋" w:eastAsia="仿宋" w:hAnsi="仿宋" w:hint="eastAsia"/>
          <w:sz w:val="24"/>
          <w:szCs w:val="24"/>
        </w:rPr>
        <w:t>至</w:t>
      </w:r>
      <w:r w:rsidR="008B391B">
        <w:rPr>
          <w:rFonts w:ascii="仿宋" w:eastAsia="仿宋" w:hAnsi="仿宋"/>
          <w:sz w:val="24"/>
          <w:szCs w:val="24"/>
        </w:rPr>
        <w:t>2.</w:t>
      </w:r>
      <w:r w:rsidR="00D41BD3">
        <w:rPr>
          <w:rFonts w:ascii="仿宋" w:eastAsia="仿宋" w:hAnsi="仿宋"/>
          <w:sz w:val="24"/>
          <w:szCs w:val="24"/>
        </w:rPr>
        <w:t>2</w:t>
      </w:r>
      <w:r w:rsidR="00CD7F56">
        <w:rPr>
          <w:rFonts w:ascii="仿宋" w:eastAsia="仿宋" w:hAnsi="仿宋"/>
          <w:sz w:val="24"/>
          <w:szCs w:val="24"/>
        </w:rPr>
        <w:t>391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5年期</w:t>
      </w:r>
      <w:r w:rsidR="00D44874">
        <w:rPr>
          <w:rFonts w:ascii="仿宋" w:eastAsia="仿宋" w:hAnsi="仿宋" w:hint="eastAsia"/>
          <w:sz w:val="24"/>
          <w:szCs w:val="24"/>
        </w:rPr>
        <w:t>下</w:t>
      </w:r>
      <w:r w:rsidR="00A36795">
        <w:rPr>
          <w:rFonts w:ascii="仿宋" w:eastAsia="仿宋" w:hAnsi="仿宋" w:hint="eastAsia"/>
          <w:sz w:val="24"/>
          <w:szCs w:val="24"/>
        </w:rPr>
        <w:t>行</w:t>
      </w:r>
      <w:r w:rsidR="00CD7F56">
        <w:rPr>
          <w:rFonts w:ascii="仿宋" w:eastAsia="仿宋" w:hAnsi="仿宋"/>
          <w:sz w:val="24"/>
          <w:szCs w:val="24"/>
        </w:rPr>
        <w:t>3.39</w:t>
      </w:r>
      <w:r>
        <w:rPr>
          <w:rFonts w:ascii="仿宋" w:eastAsia="仿宋" w:hAnsi="仿宋"/>
          <w:sz w:val="24"/>
          <w:szCs w:val="24"/>
        </w:rPr>
        <w:t>BP</w:t>
      </w:r>
      <w:r>
        <w:rPr>
          <w:rFonts w:ascii="仿宋" w:eastAsia="仿宋" w:hAnsi="仿宋" w:hint="eastAsia"/>
          <w:sz w:val="24"/>
          <w:szCs w:val="24"/>
        </w:rPr>
        <w:t>至</w:t>
      </w:r>
      <w:r w:rsidR="00833F4A">
        <w:rPr>
          <w:rFonts w:ascii="仿宋" w:eastAsia="仿宋" w:hAnsi="仿宋"/>
          <w:sz w:val="24"/>
          <w:szCs w:val="24"/>
        </w:rPr>
        <w:t>2.</w:t>
      </w:r>
      <w:r w:rsidR="00CD7F56">
        <w:rPr>
          <w:rFonts w:ascii="仿宋" w:eastAsia="仿宋" w:hAnsi="仿宋"/>
          <w:sz w:val="24"/>
          <w:szCs w:val="24"/>
        </w:rPr>
        <w:t>3441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lastRenderedPageBreak/>
        <w:t>1</w:t>
      </w:r>
      <w:r>
        <w:rPr>
          <w:rFonts w:ascii="仿宋" w:eastAsia="仿宋" w:hAnsi="仿宋"/>
          <w:sz w:val="24"/>
          <w:szCs w:val="24"/>
        </w:rPr>
        <w:t>0年期</w:t>
      </w:r>
      <w:r w:rsidR="005566D5">
        <w:rPr>
          <w:rFonts w:ascii="仿宋" w:eastAsia="仿宋" w:hAnsi="仿宋" w:hint="eastAsia"/>
          <w:sz w:val="24"/>
          <w:szCs w:val="24"/>
        </w:rPr>
        <w:t>下</w:t>
      </w:r>
      <w:r w:rsidR="00890C76">
        <w:rPr>
          <w:rFonts w:ascii="仿宋" w:eastAsia="仿宋" w:hAnsi="仿宋" w:hint="eastAsia"/>
          <w:sz w:val="24"/>
          <w:szCs w:val="24"/>
        </w:rPr>
        <w:t>行</w:t>
      </w:r>
      <w:r w:rsidR="00CD7F56">
        <w:rPr>
          <w:rFonts w:ascii="仿宋" w:eastAsia="仿宋" w:hAnsi="仿宋"/>
          <w:sz w:val="24"/>
          <w:szCs w:val="24"/>
        </w:rPr>
        <w:t>0.33</w:t>
      </w:r>
      <w:r>
        <w:rPr>
          <w:rFonts w:ascii="仿宋" w:eastAsia="仿宋" w:hAnsi="仿宋"/>
          <w:sz w:val="24"/>
          <w:szCs w:val="24"/>
        </w:rPr>
        <w:t>BP至</w:t>
      </w:r>
      <w:r w:rsidR="00833F4A">
        <w:rPr>
          <w:rFonts w:ascii="仿宋" w:eastAsia="仿宋" w:hAnsi="仿宋"/>
          <w:sz w:val="24"/>
          <w:szCs w:val="24"/>
        </w:rPr>
        <w:t>2.</w:t>
      </w:r>
      <w:r w:rsidR="00CD7F56">
        <w:rPr>
          <w:rFonts w:ascii="仿宋" w:eastAsia="仿宋" w:hAnsi="仿宋"/>
          <w:sz w:val="24"/>
          <w:szCs w:val="24"/>
        </w:rPr>
        <w:t>4994</w:t>
      </w:r>
      <w:r>
        <w:rPr>
          <w:rFonts w:ascii="仿宋" w:eastAsia="仿宋" w:hAnsi="仿宋"/>
          <w:sz w:val="24"/>
          <w:szCs w:val="24"/>
        </w:rPr>
        <w:t>。</w:t>
      </w:r>
    </w:p>
    <w:p w14:paraId="51A7EB05" w14:textId="1813D6D8" w:rsidR="00D41BD3" w:rsidRDefault="00C36720" w:rsidP="00D41BD3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长期限</w:t>
      </w:r>
      <w:r w:rsidR="00A932B7">
        <w:rPr>
          <w:rFonts w:ascii="仿宋" w:eastAsia="仿宋" w:hAnsi="仿宋"/>
          <w:b/>
          <w:sz w:val="24"/>
          <w:szCs w:val="24"/>
        </w:rPr>
        <w:t>高等级</w:t>
      </w:r>
      <w:r w:rsidR="00D83044">
        <w:rPr>
          <w:rFonts w:ascii="仿宋" w:eastAsia="仿宋" w:hAnsi="仿宋" w:hint="eastAsia"/>
          <w:b/>
          <w:sz w:val="24"/>
          <w:szCs w:val="24"/>
        </w:rPr>
        <w:t>票据</w:t>
      </w:r>
      <w:r w:rsidR="00A932B7">
        <w:rPr>
          <w:rFonts w:ascii="仿宋" w:eastAsia="仿宋" w:hAnsi="仿宋"/>
          <w:b/>
          <w:sz w:val="24"/>
          <w:szCs w:val="24"/>
        </w:rPr>
        <w:t>信用利差</w:t>
      </w:r>
      <w:r w:rsidR="00737BCF">
        <w:rPr>
          <w:rFonts w:ascii="仿宋" w:eastAsia="仿宋" w:hAnsi="仿宋" w:hint="eastAsia"/>
          <w:b/>
          <w:sz w:val="24"/>
          <w:szCs w:val="24"/>
        </w:rPr>
        <w:t>短期</w:t>
      </w:r>
      <w:r w:rsidR="00CD7F56">
        <w:rPr>
          <w:rFonts w:ascii="仿宋" w:eastAsia="仿宋" w:hAnsi="仿宋" w:hint="eastAsia"/>
          <w:b/>
          <w:sz w:val="24"/>
          <w:szCs w:val="24"/>
        </w:rPr>
        <w:t>收窄，长期收窄幅度增加</w:t>
      </w:r>
      <w:r w:rsidR="00A932B7">
        <w:rPr>
          <w:rFonts w:ascii="仿宋" w:eastAsia="仿宋" w:hAnsi="仿宋"/>
          <w:b/>
          <w:sz w:val="24"/>
          <w:szCs w:val="24"/>
        </w:rPr>
        <w:t>。</w:t>
      </w:r>
      <w:r w:rsidR="00A932B7">
        <w:rPr>
          <w:rFonts w:ascii="仿宋" w:eastAsia="仿宋" w:hAnsi="仿宋"/>
          <w:sz w:val="24"/>
          <w:szCs w:val="24"/>
        </w:rPr>
        <w:t>中债</w:t>
      </w:r>
      <w:r w:rsidR="00A932B7">
        <w:rPr>
          <w:rFonts w:ascii="仿宋" w:eastAsia="仿宋" w:hAnsi="仿宋" w:hint="eastAsia"/>
          <w:sz w:val="24"/>
          <w:szCs w:val="24"/>
        </w:rPr>
        <w:t>1年期</w:t>
      </w:r>
      <w:r w:rsidR="00A932B7">
        <w:rPr>
          <w:rFonts w:ascii="仿宋" w:eastAsia="仿宋" w:hAnsi="仿宋"/>
          <w:sz w:val="24"/>
          <w:szCs w:val="24"/>
        </w:rPr>
        <w:t>AAA级中短期票据信用利差</w:t>
      </w:r>
      <w:r w:rsidR="00CD7F56">
        <w:rPr>
          <w:rFonts w:ascii="仿宋" w:eastAsia="仿宋" w:hAnsi="仿宋" w:hint="eastAsia"/>
          <w:sz w:val="24"/>
          <w:szCs w:val="24"/>
        </w:rPr>
        <w:t>收窄0</w:t>
      </w:r>
      <w:r w:rsidR="00CD7F56">
        <w:rPr>
          <w:rFonts w:ascii="仿宋" w:eastAsia="仿宋" w:hAnsi="仿宋"/>
          <w:sz w:val="24"/>
          <w:szCs w:val="24"/>
        </w:rPr>
        <w:t>.58</w:t>
      </w:r>
      <w:r w:rsidR="00A932B7">
        <w:rPr>
          <w:rFonts w:ascii="仿宋" w:eastAsia="仿宋" w:hAnsi="仿宋"/>
          <w:sz w:val="24"/>
          <w:szCs w:val="24"/>
        </w:rPr>
        <w:t>BP，</w:t>
      </w:r>
      <w:r w:rsidR="00A932B7">
        <w:rPr>
          <w:rFonts w:ascii="仿宋" w:eastAsia="仿宋" w:hAnsi="仿宋" w:hint="eastAsia"/>
          <w:sz w:val="24"/>
          <w:szCs w:val="24"/>
        </w:rPr>
        <w:t>中债</w:t>
      </w:r>
      <w:r w:rsidR="00A932B7">
        <w:rPr>
          <w:rFonts w:ascii="仿宋" w:eastAsia="仿宋" w:hAnsi="仿宋"/>
          <w:sz w:val="24"/>
          <w:szCs w:val="24"/>
        </w:rPr>
        <w:t>2</w:t>
      </w:r>
      <w:r w:rsidR="00A932B7">
        <w:rPr>
          <w:rFonts w:ascii="仿宋" w:eastAsia="仿宋" w:hAnsi="仿宋" w:hint="eastAsia"/>
          <w:sz w:val="24"/>
          <w:szCs w:val="24"/>
        </w:rPr>
        <w:t>年期AAA级中短期票据信用利差</w:t>
      </w:r>
      <w:r w:rsidR="00105CFF">
        <w:rPr>
          <w:rFonts w:ascii="仿宋" w:eastAsia="仿宋" w:hAnsi="仿宋" w:hint="eastAsia"/>
          <w:sz w:val="24"/>
          <w:szCs w:val="24"/>
        </w:rPr>
        <w:t>放宽</w:t>
      </w:r>
      <w:r w:rsidR="00CD7F56">
        <w:rPr>
          <w:rFonts w:ascii="仿宋" w:eastAsia="仿宋" w:hAnsi="仿宋"/>
          <w:sz w:val="24"/>
          <w:szCs w:val="24"/>
        </w:rPr>
        <w:t>0.37</w:t>
      </w:r>
      <w:r w:rsidR="00A932B7">
        <w:rPr>
          <w:rFonts w:ascii="仿宋" w:eastAsia="仿宋" w:hAnsi="仿宋"/>
          <w:sz w:val="24"/>
          <w:szCs w:val="24"/>
        </w:rPr>
        <w:t>BP；</w:t>
      </w:r>
      <w:r w:rsidR="00A932B7">
        <w:rPr>
          <w:rFonts w:ascii="仿宋" w:eastAsia="仿宋" w:hAnsi="仿宋" w:hint="eastAsia"/>
          <w:sz w:val="24"/>
          <w:szCs w:val="24"/>
        </w:rPr>
        <w:t>中债</w:t>
      </w:r>
      <w:r w:rsidR="00A932B7">
        <w:rPr>
          <w:rFonts w:ascii="仿宋" w:eastAsia="仿宋" w:hAnsi="仿宋"/>
          <w:sz w:val="24"/>
          <w:szCs w:val="24"/>
        </w:rPr>
        <w:t>3</w:t>
      </w:r>
      <w:r w:rsidR="00A932B7">
        <w:rPr>
          <w:rFonts w:ascii="仿宋" w:eastAsia="仿宋" w:hAnsi="仿宋" w:hint="eastAsia"/>
          <w:sz w:val="24"/>
          <w:szCs w:val="24"/>
        </w:rPr>
        <w:t>年期AA</w:t>
      </w:r>
      <w:r w:rsidR="00A932B7">
        <w:rPr>
          <w:rFonts w:ascii="仿宋" w:eastAsia="仿宋" w:hAnsi="仿宋"/>
          <w:sz w:val="24"/>
          <w:szCs w:val="24"/>
        </w:rPr>
        <w:t>A</w:t>
      </w:r>
      <w:r w:rsidR="00A932B7">
        <w:rPr>
          <w:rFonts w:ascii="仿宋" w:eastAsia="仿宋" w:hAnsi="仿宋" w:hint="eastAsia"/>
          <w:sz w:val="24"/>
          <w:szCs w:val="24"/>
        </w:rPr>
        <w:t>级中短期票据信用利差</w:t>
      </w:r>
      <w:r w:rsidR="00CD7F56">
        <w:rPr>
          <w:rFonts w:ascii="仿宋" w:eastAsia="仿宋" w:hAnsi="仿宋" w:hint="eastAsia"/>
          <w:sz w:val="24"/>
          <w:szCs w:val="24"/>
        </w:rPr>
        <w:t>收窄2</w:t>
      </w:r>
      <w:r w:rsidR="00CD7F56">
        <w:rPr>
          <w:rFonts w:ascii="仿宋" w:eastAsia="仿宋" w:hAnsi="仿宋"/>
          <w:sz w:val="24"/>
          <w:szCs w:val="24"/>
        </w:rPr>
        <w:t>.19</w:t>
      </w:r>
      <w:r w:rsidR="00A932B7">
        <w:rPr>
          <w:rFonts w:ascii="仿宋" w:eastAsia="仿宋" w:hAnsi="仿宋" w:hint="eastAsia"/>
          <w:sz w:val="24"/>
          <w:szCs w:val="24"/>
        </w:rPr>
        <w:t>BP</w:t>
      </w:r>
      <w:r w:rsidR="00D41BD3">
        <w:rPr>
          <w:rFonts w:ascii="仿宋" w:eastAsia="仿宋" w:hAnsi="仿宋" w:hint="eastAsia"/>
          <w:sz w:val="24"/>
          <w:szCs w:val="24"/>
        </w:rPr>
        <w:t>。</w:t>
      </w:r>
    </w:p>
    <w:p w14:paraId="3E2431AF" w14:textId="069531C1" w:rsidR="00431826" w:rsidRPr="00D41BD3" w:rsidRDefault="00CD7F56" w:rsidP="00D41BD3">
      <w:pPr>
        <w:spacing w:line="360" w:lineRule="auto"/>
        <w:ind w:firstLineChars="200" w:firstLine="420"/>
        <w:jc w:val="center"/>
        <w:rPr>
          <w:rFonts w:ascii="仿宋" w:eastAsia="仿宋" w:hAnsi="仿宋"/>
          <w:sz w:val="24"/>
          <w:szCs w:val="24"/>
        </w:rPr>
      </w:pPr>
      <w:r>
        <w:rPr>
          <w:rFonts w:ascii="黑体" w:eastAsia="黑体" w:hAnsi="黑体"/>
          <w:noProof/>
          <w:szCs w:val="21"/>
        </w:rPr>
        <w:drawing>
          <wp:anchor distT="0" distB="0" distL="114300" distR="114300" simplePos="0" relativeHeight="251731968" behindDoc="0" locked="0" layoutInCell="1" allowOverlap="1" wp14:anchorId="53758C1C" wp14:editId="386583BB">
            <wp:simplePos x="0" y="0"/>
            <wp:positionH relativeFrom="column">
              <wp:posOffset>996315</wp:posOffset>
            </wp:positionH>
            <wp:positionV relativeFrom="paragraph">
              <wp:posOffset>396367</wp:posOffset>
            </wp:positionV>
            <wp:extent cx="4474845" cy="2305685"/>
            <wp:effectExtent l="0" t="0" r="1905" b="0"/>
            <wp:wrapTopAndBottom/>
            <wp:docPr id="161023334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230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2B7">
        <w:rPr>
          <w:rFonts w:ascii="黑体" w:eastAsia="黑体" w:hAnsi="黑体" w:hint="eastAsia"/>
          <w:szCs w:val="21"/>
        </w:rPr>
        <w:t>图</w:t>
      </w:r>
      <w:r w:rsidR="00D37014">
        <w:rPr>
          <w:rFonts w:ascii="黑体" w:eastAsia="黑体" w:hAnsi="黑体" w:hint="eastAsia"/>
          <w:szCs w:val="21"/>
        </w:rPr>
        <w:t>1</w:t>
      </w:r>
      <w:r w:rsidR="00D37014">
        <w:rPr>
          <w:rFonts w:ascii="黑体" w:eastAsia="黑体" w:hAnsi="黑体"/>
          <w:szCs w:val="21"/>
        </w:rPr>
        <w:t>5</w:t>
      </w:r>
      <w:r w:rsidR="00A932B7">
        <w:rPr>
          <w:rFonts w:ascii="黑体" w:eastAsia="黑体" w:hAnsi="黑体" w:hint="eastAsia"/>
          <w:szCs w:val="21"/>
        </w:rPr>
        <w:t>：</w:t>
      </w:r>
      <w:r w:rsidR="00977DEB">
        <w:rPr>
          <w:rFonts w:ascii="黑体" w:eastAsia="黑体" w:hAnsi="黑体" w:hint="eastAsia"/>
          <w:szCs w:val="21"/>
        </w:rPr>
        <w:t>上周</w:t>
      </w:r>
      <w:proofErr w:type="gramStart"/>
      <w:r w:rsidR="00977DEB">
        <w:rPr>
          <w:rFonts w:ascii="黑体" w:eastAsia="黑体" w:hAnsi="黑体" w:hint="eastAsia"/>
          <w:szCs w:val="21"/>
        </w:rPr>
        <w:t>美债各期限</w:t>
      </w:r>
      <w:proofErr w:type="gramEnd"/>
      <w:r w:rsidR="00977DEB">
        <w:rPr>
          <w:rFonts w:ascii="黑体" w:eastAsia="黑体" w:hAnsi="黑体" w:hint="eastAsia"/>
          <w:szCs w:val="21"/>
        </w:rPr>
        <w:t>收益率涨跌幅（BP）</w:t>
      </w:r>
    </w:p>
    <w:p w14:paraId="5C8C81CB" w14:textId="08AC3F20" w:rsidR="00D41BD3" w:rsidRPr="00CD7F56" w:rsidRDefault="00D41BD3" w:rsidP="00D44874">
      <w:pPr>
        <w:spacing w:line="360" w:lineRule="auto"/>
        <w:jc w:val="center"/>
        <w:rPr>
          <w:rFonts w:ascii="黑体" w:eastAsia="黑体" w:hAnsi="黑体"/>
          <w:szCs w:val="21"/>
        </w:rPr>
      </w:pPr>
    </w:p>
    <w:p w14:paraId="6DE287B7" w14:textId="6D9BA1A5" w:rsidR="00D37014" w:rsidRDefault="00A932B7" w:rsidP="00F10CEF">
      <w:pPr>
        <w:spacing w:line="360" w:lineRule="auto"/>
        <w:ind w:firstLineChars="700" w:firstLine="147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p w14:paraId="2C8F2E90" w14:textId="3C6DDCAB" w:rsidR="00D41BD3" w:rsidRPr="00D41BD3" w:rsidRDefault="00F10CEF" w:rsidP="00D41BD3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>
        <w:rPr>
          <w:rFonts w:ascii="仿宋" w:eastAsia="仿宋" w:hAnsi="仿宋"/>
          <w:b/>
          <w:sz w:val="24"/>
          <w:szCs w:val="24"/>
        </w:rPr>
        <w:t>周</w:t>
      </w:r>
      <w:proofErr w:type="gramStart"/>
      <w:r>
        <w:rPr>
          <w:rFonts w:ascii="仿宋" w:eastAsia="仿宋" w:hAnsi="仿宋"/>
          <w:b/>
          <w:sz w:val="24"/>
          <w:szCs w:val="24"/>
        </w:rPr>
        <w:t>美债各期限</w:t>
      </w:r>
      <w:proofErr w:type="gramEnd"/>
      <w:r>
        <w:rPr>
          <w:rFonts w:ascii="仿宋" w:eastAsia="仿宋" w:hAnsi="仿宋"/>
          <w:b/>
          <w:sz w:val="24"/>
          <w:szCs w:val="24"/>
        </w:rPr>
        <w:t>收益率</w:t>
      </w:r>
      <w:r w:rsidR="005772AB">
        <w:rPr>
          <w:rFonts w:ascii="仿宋" w:eastAsia="仿宋" w:hAnsi="仿宋" w:hint="eastAsia"/>
          <w:b/>
          <w:sz w:val="24"/>
          <w:szCs w:val="24"/>
        </w:rPr>
        <w:t>集体</w:t>
      </w:r>
      <w:r w:rsidR="00793EC0">
        <w:rPr>
          <w:rFonts w:ascii="仿宋" w:eastAsia="仿宋" w:hAnsi="仿宋" w:hint="eastAsia"/>
          <w:b/>
          <w:sz w:val="24"/>
          <w:szCs w:val="24"/>
        </w:rPr>
        <w:t>下行</w:t>
      </w:r>
      <w:r>
        <w:rPr>
          <w:rFonts w:ascii="仿宋" w:eastAsia="仿宋" w:hAnsi="仿宋" w:hint="eastAsia"/>
          <w:b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上周</w:t>
      </w:r>
      <w:proofErr w:type="gramStart"/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0年期美债</w:t>
      </w:r>
      <w:proofErr w:type="gramEnd"/>
      <w:r>
        <w:rPr>
          <w:rFonts w:ascii="仿宋" w:eastAsia="仿宋" w:hAnsi="仿宋"/>
          <w:sz w:val="24"/>
          <w:szCs w:val="24"/>
        </w:rPr>
        <w:t>收益率</w:t>
      </w:r>
      <w:r w:rsidR="00CD7F56">
        <w:rPr>
          <w:rFonts w:ascii="仿宋" w:eastAsia="仿宋" w:hAnsi="仿宋" w:hint="eastAsia"/>
          <w:sz w:val="24"/>
          <w:szCs w:val="24"/>
        </w:rPr>
        <w:t>无变动</w:t>
      </w:r>
      <w:r>
        <w:rPr>
          <w:rFonts w:ascii="仿宋" w:eastAsia="仿宋" w:hAnsi="仿宋" w:hint="eastAsia"/>
          <w:sz w:val="24"/>
          <w:szCs w:val="24"/>
        </w:rPr>
        <w:t>，1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年期国债收益率</w:t>
      </w:r>
      <w:r w:rsidR="00CD7F56">
        <w:rPr>
          <w:rFonts w:ascii="仿宋" w:eastAsia="仿宋" w:hAnsi="仿宋" w:hint="eastAsia"/>
          <w:sz w:val="24"/>
          <w:szCs w:val="24"/>
        </w:rPr>
        <w:t>下</w:t>
      </w:r>
      <w:r w:rsidR="004820FE">
        <w:rPr>
          <w:rFonts w:ascii="仿宋" w:eastAsia="仿宋" w:hAnsi="仿宋" w:hint="eastAsia"/>
          <w:sz w:val="24"/>
          <w:szCs w:val="24"/>
        </w:rPr>
        <w:t>行</w:t>
      </w:r>
      <w:r w:rsidR="00CD7F56">
        <w:rPr>
          <w:rFonts w:ascii="仿宋" w:eastAsia="仿宋" w:hAnsi="仿宋"/>
          <w:sz w:val="24"/>
          <w:szCs w:val="24"/>
        </w:rPr>
        <w:t>0.33</w:t>
      </w:r>
      <w:r w:rsidR="00B27E21">
        <w:rPr>
          <w:rFonts w:ascii="仿宋" w:eastAsia="仿宋" w:hAnsi="仿宋" w:hint="eastAsia"/>
          <w:sz w:val="24"/>
          <w:szCs w:val="24"/>
        </w:rPr>
        <w:t>BP</w:t>
      </w:r>
      <w:r>
        <w:rPr>
          <w:rFonts w:ascii="仿宋" w:eastAsia="仿宋" w:hAnsi="仿宋"/>
          <w:sz w:val="24"/>
          <w:szCs w:val="24"/>
        </w:rPr>
        <w:t>，中美利差倒挂</w:t>
      </w:r>
      <w:r w:rsidR="004D4537">
        <w:rPr>
          <w:rFonts w:ascii="仿宋" w:eastAsia="仿宋" w:hAnsi="仿宋" w:hint="eastAsia"/>
          <w:sz w:val="24"/>
          <w:szCs w:val="24"/>
        </w:rPr>
        <w:t>程度</w:t>
      </w:r>
      <w:r w:rsidR="005B2939">
        <w:rPr>
          <w:rFonts w:ascii="仿宋" w:eastAsia="仿宋" w:hAnsi="仿宋" w:hint="eastAsia"/>
          <w:sz w:val="24"/>
          <w:szCs w:val="24"/>
        </w:rPr>
        <w:t>有所</w:t>
      </w:r>
      <w:r w:rsidR="00CD7F56">
        <w:rPr>
          <w:rFonts w:ascii="仿宋" w:eastAsia="仿宋" w:hAnsi="仿宋" w:hint="eastAsia"/>
          <w:sz w:val="24"/>
          <w:szCs w:val="24"/>
        </w:rPr>
        <w:t>加深</w:t>
      </w:r>
      <w:r>
        <w:rPr>
          <w:rFonts w:ascii="仿宋" w:eastAsia="仿宋" w:hAnsi="仿宋"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全周来看，</w:t>
      </w:r>
      <w:proofErr w:type="gramStart"/>
      <w:r w:rsidR="00AA6E88">
        <w:rPr>
          <w:rFonts w:ascii="仿宋" w:eastAsia="仿宋" w:hAnsi="仿宋" w:hint="eastAsia"/>
          <w:sz w:val="24"/>
          <w:szCs w:val="24"/>
        </w:rPr>
        <w:t>1年期</w:t>
      </w:r>
      <w:r>
        <w:rPr>
          <w:rFonts w:ascii="仿宋" w:eastAsia="仿宋" w:hAnsi="仿宋" w:hint="eastAsia"/>
          <w:sz w:val="24"/>
          <w:szCs w:val="24"/>
        </w:rPr>
        <w:t>美债</w:t>
      </w:r>
      <w:proofErr w:type="gramEnd"/>
      <w:r w:rsidRPr="00913F9E">
        <w:rPr>
          <w:rFonts w:ascii="仿宋" w:eastAsia="仿宋" w:hAnsi="仿宋" w:hint="eastAsia"/>
          <w:sz w:val="24"/>
          <w:szCs w:val="24"/>
        </w:rPr>
        <w:t>收益率</w:t>
      </w:r>
      <w:r w:rsidR="00793EC0">
        <w:rPr>
          <w:rFonts w:ascii="仿宋" w:eastAsia="仿宋" w:hAnsi="仿宋" w:hint="eastAsia"/>
          <w:sz w:val="24"/>
          <w:szCs w:val="24"/>
        </w:rPr>
        <w:t>下</w:t>
      </w:r>
      <w:r w:rsidR="004D4537">
        <w:rPr>
          <w:rFonts w:ascii="仿宋" w:eastAsia="仿宋" w:hAnsi="仿宋" w:hint="eastAsia"/>
          <w:sz w:val="24"/>
          <w:szCs w:val="24"/>
        </w:rPr>
        <w:t>行</w:t>
      </w:r>
      <w:r w:rsidR="00CD7F56">
        <w:rPr>
          <w:rFonts w:ascii="仿宋" w:eastAsia="仿宋" w:hAnsi="仿宋"/>
          <w:sz w:val="24"/>
          <w:szCs w:val="24"/>
        </w:rPr>
        <w:t>6</w:t>
      </w:r>
      <w:r w:rsidR="00530B7B">
        <w:rPr>
          <w:rFonts w:ascii="仿宋" w:eastAsia="仿宋" w:hAnsi="仿宋"/>
          <w:sz w:val="24"/>
          <w:szCs w:val="24"/>
        </w:rPr>
        <w:t>BP</w:t>
      </w:r>
      <w:r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="00530B7B">
        <w:rPr>
          <w:rFonts w:ascii="仿宋" w:eastAsia="仿宋" w:hAnsi="仿宋"/>
          <w:sz w:val="24"/>
          <w:szCs w:val="24"/>
        </w:rPr>
        <w:t>3</w:t>
      </w:r>
      <w:r w:rsidR="00530B7B">
        <w:rPr>
          <w:rFonts w:ascii="仿宋" w:eastAsia="仿宋" w:hAnsi="仿宋" w:hint="eastAsia"/>
          <w:sz w:val="24"/>
          <w:szCs w:val="24"/>
        </w:rPr>
        <w:t>年期美债</w:t>
      </w:r>
      <w:proofErr w:type="gramEnd"/>
      <w:r w:rsidR="00530B7B" w:rsidRPr="00913F9E">
        <w:rPr>
          <w:rFonts w:ascii="仿宋" w:eastAsia="仿宋" w:hAnsi="仿宋" w:hint="eastAsia"/>
          <w:sz w:val="24"/>
          <w:szCs w:val="24"/>
        </w:rPr>
        <w:t>收益率</w:t>
      </w:r>
      <w:r w:rsidR="00793EC0">
        <w:rPr>
          <w:rFonts w:ascii="仿宋" w:eastAsia="仿宋" w:hAnsi="仿宋" w:hint="eastAsia"/>
          <w:sz w:val="24"/>
          <w:szCs w:val="24"/>
        </w:rPr>
        <w:t>下行</w:t>
      </w:r>
      <w:r w:rsidR="00105CFF">
        <w:rPr>
          <w:rFonts w:ascii="仿宋" w:eastAsia="仿宋" w:hAnsi="仿宋"/>
          <w:sz w:val="24"/>
          <w:szCs w:val="24"/>
        </w:rPr>
        <w:t>3</w:t>
      </w:r>
      <w:r w:rsidR="00530B7B">
        <w:rPr>
          <w:rFonts w:ascii="仿宋" w:eastAsia="仿宋" w:hAnsi="仿宋"/>
          <w:sz w:val="24"/>
          <w:szCs w:val="24"/>
        </w:rPr>
        <w:t>BP</w:t>
      </w:r>
      <w:r w:rsidR="00530B7B"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="00530B7B">
        <w:rPr>
          <w:rFonts w:ascii="仿宋" w:eastAsia="仿宋" w:hAnsi="仿宋" w:hint="eastAsia"/>
          <w:sz w:val="24"/>
          <w:szCs w:val="24"/>
        </w:rPr>
        <w:t>1</w:t>
      </w:r>
      <w:r w:rsidR="00530B7B">
        <w:rPr>
          <w:rFonts w:ascii="仿宋" w:eastAsia="仿宋" w:hAnsi="仿宋"/>
          <w:sz w:val="24"/>
          <w:szCs w:val="24"/>
        </w:rPr>
        <w:t>0</w:t>
      </w:r>
      <w:r w:rsidR="00530B7B">
        <w:rPr>
          <w:rFonts w:ascii="仿宋" w:eastAsia="仿宋" w:hAnsi="仿宋" w:hint="eastAsia"/>
          <w:sz w:val="24"/>
          <w:szCs w:val="24"/>
        </w:rPr>
        <w:t>年期美债</w:t>
      </w:r>
      <w:proofErr w:type="gramEnd"/>
      <w:r w:rsidR="00530B7B" w:rsidRPr="00913F9E">
        <w:rPr>
          <w:rFonts w:ascii="仿宋" w:eastAsia="仿宋" w:hAnsi="仿宋" w:hint="eastAsia"/>
          <w:sz w:val="24"/>
          <w:szCs w:val="24"/>
        </w:rPr>
        <w:t>收益率</w:t>
      </w:r>
      <w:r w:rsidR="00CD7F56">
        <w:rPr>
          <w:rFonts w:ascii="仿宋" w:eastAsia="仿宋" w:hAnsi="仿宋" w:hint="eastAsia"/>
          <w:sz w:val="24"/>
          <w:szCs w:val="24"/>
        </w:rPr>
        <w:t>无变动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373C3C4E" w14:textId="5DB75866" w:rsidR="00431826" w:rsidRDefault="000645DD" w:rsidP="00431826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732992" behindDoc="0" locked="0" layoutInCell="1" allowOverlap="1" wp14:anchorId="73A05651" wp14:editId="7D849F6F">
            <wp:simplePos x="0" y="0"/>
            <wp:positionH relativeFrom="column">
              <wp:posOffset>1283081</wp:posOffset>
            </wp:positionH>
            <wp:positionV relativeFrom="paragraph">
              <wp:posOffset>263525</wp:posOffset>
            </wp:positionV>
            <wp:extent cx="3710940" cy="1927860"/>
            <wp:effectExtent l="0" t="0" r="3810" b="0"/>
            <wp:wrapTopAndBottom/>
            <wp:docPr id="115332479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92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F9E">
        <w:rPr>
          <w:rFonts w:ascii="黑体" w:eastAsia="黑体" w:hAnsi="黑体" w:hint="eastAsia"/>
          <w:szCs w:val="21"/>
        </w:rPr>
        <w:t>图</w:t>
      </w:r>
      <w:r w:rsidR="00D37014">
        <w:rPr>
          <w:rFonts w:ascii="黑体" w:eastAsia="黑体" w:hAnsi="黑体" w:hint="eastAsia"/>
          <w:szCs w:val="21"/>
        </w:rPr>
        <w:t>1</w:t>
      </w:r>
      <w:r w:rsidR="00D37014">
        <w:rPr>
          <w:rFonts w:ascii="黑体" w:eastAsia="黑体" w:hAnsi="黑体"/>
          <w:szCs w:val="21"/>
        </w:rPr>
        <w:t>6</w:t>
      </w:r>
      <w:r w:rsidR="00913F9E">
        <w:rPr>
          <w:rFonts w:ascii="黑体" w:eastAsia="黑体" w:hAnsi="黑体" w:hint="eastAsia"/>
          <w:szCs w:val="21"/>
        </w:rPr>
        <w:t>：</w:t>
      </w:r>
      <w:r w:rsidR="00977DEB">
        <w:rPr>
          <w:rFonts w:ascii="黑体" w:eastAsia="黑体" w:hAnsi="黑体" w:hint="eastAsia"/>
          <w:szCs w:val="21"/>
        </w:rPr>
        <w:t>1</w:t>
      </w:r>
      <w:r w:rsidR="00977DEB">
        <w:rPr>
          <w:rFonts w:ascii="黑体" w:eastAsia="黑体" w:hAnsi="黑体"/>
          <w:szCs w:val="21"/>
        </w:rPr>
        <w:t>0</w:t>
      </w:r>
      <w:r w:rsidR="00977DEB">
        <w:rPr>
          <w:rFonts w:ascii="黑体" w:eastAsia="黑体" w:hAnsi="黑体" w:hint="eastAsia"/>
          <w:szCs w:val="21"/>
        </w:rPr>
        <w:t>年期和</w:t>
      </w:r>
      <w:proofErr w:type="gramStart"/>
      <w:r w:rsidR="00977DEB">
        <w:rPr>
          <w:rFonts w:ascii="黑体" w:eastAsia="黑体" w:hAnsi="黑体" w:hint="eastAsia"/>
          <w:szCs w:val="21"/>
        </w:rPr>
        <w:t>2年期美债</w:t>
      </w:r>
      <w:proofErr w:type="gramEnd"/>
      <w:r w:rsidR="00977DEB">
        <w:rPr>
          <w:rFonts w:ascii="黑体" w:eastAsia="黑体" w:hAnsi="黑体" w:hint="eastAsia"/>
          <w:szCs w:val="21"/>
        </w:rPr>
        <w:t>收益率走势</w:t>
      </w:r>
    </w:p>
    <w:p w14:paraId="588A013D" w14:textId="4D8906B8" w:rsidR="000645DD" w:rsidRDefault="000645DD" w:rsidP="00431826">
      <w:pPr>
        <w:spacing w:line="360" w:lineRule="auto"/>
        <w:jc w:val="center"/>
        <w:rPr>
          <w:rFonts w:ascii="黑体" w:eastAsia="黑体" w:hAnsi="黑体"/>
          <w:szCs w:val="21"/>
        </w:rPr>
      </w:pPr>
    </w:p>
    <w:p w14:paraId="63DC1FB5" w14:textId="3A19DD5C" w:rsidR="00913F9E" w:rsidRPr="00913F9E" w:rsidRDefault="00913F9E" w:rsidP="00F748B7">
      <w:pPr>
        <w:spacing w:line="360" w:lineRule="auto"/>
        <w:ind w:left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p w14:paraId="4979E131" w14:textId="448F53D3" w:rsidR="00383A48" w:rsidRDefault="00A932B7">
      <w:pPr>
        <w:spacing w:line="360" w:lineRule="auto"/>
        <w:ind w:firstLine="480"/>
        <w:rPr>
          <w:rFonts w:ascii="楷体" w:eastAsia="楷体" w:hAnsi="楷体"/>
          <w:b/>
          <w:sz w:val="24"/>
          <w:szCs w:val="24"/>
        </w:rPr>
      </w:pPr>
      <w:r w:rsidRPr="0092490D">
        <w:rPr>
          <w:rFonts w:ascii="楷体" w:eastAsia="楷体" w:hAnsi="楷体" w:hint="eastAsia"/>
          <w:b/>
          <w:sz w:val="24"/>
          <w:szCs w:val="24"/>
        </w:rPr>
        <w:t>（四）外汇市场</w:t>
      </w:r>
    </w:p>
    <w:p w14:paraId="63C1009F" w14:textId="21F26D2C" w:rsidR="00383A48" w:rsidRDefault="00A932B7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>
        <w:rPr>
          <w:rFonts w:ascii="仿宋" w:eastAsia="仿宋" w:hAnsi="仿宋"/>
          <w:b/>
          <w:sz w:val="24"/>
          <w:szCs w:val="24"/>
        </w:rPr>
        <w:t>周美元指数</w:t>
      </w:r>
      <w:r w:rsidR="000645DD">
        <w:rPr>
          <w:rFonts w:ascii="仿宋" w:eastAsia="仿宋" w:hAnsi="仿宋" w:hint="eastAsia"/>
          <w:b/>
          <w:sz w:val="24"/>
          <w:szCs w:val="24"/>
        </w:rPr>
        <w:t>上</w:t>
      </w:r>
      <w:r w:rsidR="00832A85">
        <w:rPr>
          <w:rFonts w:ascii="仿宋" w:eastAsia="仿宋" w:hAnsi="仿宋" w:hint="eastAsia"/>
          <w:b/>
          <w:sz w:val="24"/>
          <w:szCs w:val="24"/>
        </w:rPr>
        <w:t>行</w:t>
      </w:r>
      <w:r>
        <w:rPr>
          <w:rFonts w:ascii="仿宋" w:eastAsia="仿宋" w:hAnsi="仿宋" w:hint="eastAsia"/>
          <w:b/>
          <w:sz w:val="24"/>
          <w:szCs w:val="24"/>
        </w:rPr>
        <w:t>，</w:t>
      </w:r>
      <w:r>
        <w:rPr>
          <w:rFonts w:ascii="仿宋" w:eastAsia="仿宋" w:hAnsi="仿宋"/>
          <w:b/>
          <w:sz w:val="24"/>
          <w:szCs w:val="24"/>
        </w:rPr>
        <w:t>在岸</w:t>
      </w:r>
      <w:r>
        <w:rPr>
          <w:rFonts w:ascii="仿宋" w:eastAsia="仿宋" w:hAnsi="仿宋" w:hint="eastAsia"/>
          <w:b/>
          <w:sz w:val="24"/>
          <w:szCs w:val="24"/>
        </w:rPr>
        <w:t>和离岸</w:t>
      </w:r>
      <w:r>
        <w:rPr>
          <w:rFonts w:ascii="仿宋" w:eastAsia="仿宋" w:hAnsi="仿宋"/>
          <w:b/>
          <w:sz w:val="24"/>
          <w:szCs w:val="24"/>
        </w:rPr>
        <w:t>人民币汇率</w:t>
      </w:r>
      <w:r w:rsidR="00AB7B26">
        <w:rPr>
          <w:rFonts w:ascii="仿宋" w:eastAsia="仿宋" w:hAnsi="仿宋" w:hint="eastAsia"/>
          <w:b/>
          <w:sz w:val="24"/>
          <w:szCs w:val="24"/>
        </w:rPr>
        <w:t>升</w:t>
      </w:r>
      <w:r w:rsidR="009B18B7">
        <w:rPr>
          <w:rFonts w:ascii="仿宋" w:eastAsia="仿宋" w:hAnsi="仿宋" w:hint="eastAsia"/>
          <w:b/>
          <w:sz w:val="24"/>
          <w:szCs w:val="24"/>
        </w:rPr>
        <w:t>值</w:t>
      </w:r>
      <w:r>
        <w:rPr>
          <w:rFonts w:ascii="仿宋" w:eastAsia="仿宋" w:hAnsi="仿宋" w:hint="eastAsia"/>
          <w:b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上周美元指数</w:t>
      </w:r>
      <w:r w:rsidR="000645DD">
        <w:rPr>
          <w:rFonts w:ascii="仿宋" w:eastAsia="仿宋" w:hAnsi="仿宋" w:hint="eastAsia"/>
          <w:sz w:val="24"/>
          <w:szCs w:val="24"/>
        </w:rPr>
        <w:t>上升0</w:t>
      </w:r>
      <w:r w:rsidR="000645DD">
        <w:rPr>
          <w:rFonts w:ascii="仿宋" w:eastAsia="仿宋" w:hAnsi="仿宋"/>
          <w:sz w:val="24"/>
          <w:szCs w:val="24"/>
        </w:rPr>
        <w:t>.24</w:t>
      </w:r>
      <w:r>
        <w:rPr>
          <w:rFonts w:ascii="仿宋" w:eastAsia="仿宋" w:hAnsi="仿宋" w:hint="eastAsia"/>
          <w:sz w:val="24"/>
          <w:szCs w:val="24"/>
        </w:rPr>
        <w:t>%，在岸和离</w:t>
      </w:r>
      <w:r>
        <w:rPr>
          <w:rFonts w:ascii="仿宋" w:eastAsia="仿宋" w:hAnsi="仿宋" w:hint="eastAsia"/>
          <w:sz w:val="24"/>
          <w:szCs w:val="24"/>
        </w:rPr>
        <w:lastRenderedPageBreak/>
        <w:t>岸人民币汇率</w:t>
      </w:r>
      <w:r w:rsidR="004F3398">
        <w:rPr>
          <w:rFonts w:ascii="仿宋" w:eastAsia="仿宋" w:hAnsi="仿宋" w:hint="eastAsia"/>
          <w:sz w:val="24"/>
          <w:szCs w:val="24"/>
        </w:rPr>
        <w:t>有所</w:t>
      </w:r>
      <w:r w:rsidR="00AB7B26">
        <w:rPr>
          <w:rFonts w:ascii="仿宋" w:eastAsia="仿宋" w:hAnsi="仿宋" w:hint="eastAsia"/>
          <w:sz w:val="24"/>
          <w:szCs w:val="24"/>
        </w:rPr>
        <w:t>升</w:t>
      </w:r>
      <w:r w:rsidR="003277EE">
        <w:rPr>
          <w:rFonts w:ascii="仿宋" w:eastAsia="仿宋" w:hAnsi="仿宋" w:hint="eastAsia"/>
          <w:sz w:val="24"/>
          <w:szCs w:val="24"/>
        </w:rPr>
        <w:t>值</w:t>
      </w:r>
      <w:r>
        <w:rPr>
          <w:rFonts w:ascii="仿宋" w:eastAsia="仿宋" w:hAnsi="仿宋" w:hint="eastAsia"/>
          <w:sz w:val="24"/>
          <w:szCs w:val="24"/>
        </w:rPr>
        <w:t>，中间价</w:t>
      </w:r>
      <w:r w:rsidR="004820FE">
        <w:rPr>
          <w:rFonts w:ascii="仿宋" w:eastAsia="仿宋" w:hAnsi="仿宋" w:hint="eastAsia"/>
          <w:sz w:val="24"/>
          <w:szCs w:val="24"/>
        </w:rPr>
        <w:t>升</w:t>
      </w:r>
      <w:r w:rsidR="00EE423F">
        <w:rPr>
          <w:rFonts w:ascii="仿宋" w:eastAsia="仿宋" w:hAnsi="仿宋" w:hint="eastAsia"/>
          <w:sz w:val="24"/>
          <w:szCs w:val="24"/>
        </w:rPr>
        <w:t>值</w:t>
      </w:r>
      <w:r w:rsidR="000645DD">
        <w:rPr>
          <w:rFonts w:ascii="仿宋" w:eastAsia="仿宋" w:hAnsi="仿宋"/>
          <w:sz w:val="24"/>
          <w:szCs w:val="24"/>
        </w:rPr>
        <w:t>0.13</w:t>
      </w:r>
      <w:r>
        <w:rPr>
          <w:rFonts w:ascii="仿宋" w:eastAsia="仿宋" w:hAnsi="仿宋" w:hint="eastAsia"/>
          <w:sz w:val="24"/>
          <w:szCs w:val="24"/>
        </w:rPr>
        <w:t>%，</w:t>
      </w:r>
      <w:r>
        <w:rPr>
          <w:rFonts w:ascii="仿宋" w:eastAsia="仿宋" w:hAnsi="仿宋"/>
          <w:sz w:val="24"/>
          <w:szCs w:val="24"/>
        </w:rPr>
        <w:t>即期汇率</w:t>
      </w:r>
      <w:r w:rsidR="00AB7B26">
        <w:rPr>
          <w:rFonts w:ascii="仿宋" w:eastAsia="仿宋" w:hAnsi="仿宋" w:hint="eastAsia"/>
          <w:sz w:val="24"/>
          <w:szCs w:val="24"/>
        </w:rPr>
        <w:t>升</w:t>
      </w:r>
      <w:r w:rsidR="003277EE">
        <w:rPr>
          <w:rFonts w:ascii="仿宋" w:eastAsia="仿宋" w:hAnsi="仿宋" w:hint="eastAsia"/>
          <w:sz w:val="24"/>
          <w:szCs w:val="24"/>
        </w:rPr>
        <w:t>值</w:t>
      </w:r>
      <w:r w:rsidR="000645DD">
        <w:rPr>
          <w:rFonts w:ascii="仿宋" w:eastAsia="仿宋" w:hAnsi="仿宋"/>
          <w:sz w:val="24"/>
          <w:szCs w:val="24"/>
        </w:rPr>
        <w:t>0.18</w:t>
      </w:r>
      <w:r w:rsidR="003277EE"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离岸人民币汇率</w:t>
      </w:r>
      <w:r w:rsidR="00AB7B26">
        <w:rPr>
          <w:rFonts w:ascii="仿宋" w:eastAsia="仿宋" w:hAnsi="仿宋" w:hint="eastAsia"/>
          <w:sz w:val="24"/>
          <w:szCs w:val="24"/>
        </w:rPr>
        <w:t>升值</w:t>
      </w:r>
      <w:r w:rsidR="000645DD">
        <w:rPr>
          <w:rFonts w:ascii="仿宋" w:eastAsia="仿宋" w:hAnsi="仿宋"/>
          <w:sz w:val="24"/>
          <w:szCs w:val="24"/>
        </w:rPr>
        <w:t>0.21</w:t>
      </w:r>
      <w:r>
        <w:rPr>
          <w:rFonts w:ascii="仿宋" w:eastAsia="仿宋" w:hAnsi="仿宋" w:hint="eastAsia"/>
          <w:sz w:val="24"/>
          <w:szCs w:val="24"/>
        </w:rPr>
        <w:t>%。</w:t>
      </w:r>
    </w:p>
    <w:p w14:paraId="7E41BC35" w14:textId="267D743D" w:rsidR="00383A48" w:rsidRDefault="00A932B7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>
        <w:rPr>
          <w:rFonts w:ascii="黑体" w:eastAsia="黑体" w:hAnsi="黑体" w:hint="eastAsia"/>
          <w:szCs w:val="21"/>
        </w:rPr>
        <w:t>表</w:t>
      </w:r>
      <w:r w:rsidR="00D37014">
        <w:rPr>
          <w:rFonts w:ascii="黑体" w:eastAsia="黑体" w:hAnsi="黑体" w:hint="eastAsia"/>
          <w:szCs w:val="21"/>
        </w:rPr>
        <w:t>4</w:t>
      </w:r>
      <w:r>
        <w:rPr>
          <w:rFonts w:ascii="黑体" w:eastAsia="黑体" w:hAnsi="黑体" w:hint="eastAsia"/>
          <w:szCs w:val="21"/>
        </w:rPr>
        <w:t>：上周美元及人民币汇率升贬值</w:t>
      </w:r>
    </w:p>
    <w:tbl>
      <w:tblPr>
        <w:tblW w:w="9026" w:type="dxa"/>
        <w:jc w:val="center"/>
        <w:tblLook w:val="04A0" w:firstRow="1" w:lastRow="0" w:firstColumn="1" w:lastColumn="0" w:noHBand="0" w:noVBand="1"/>
      </w:tblPr>
      <w:tblGrid>
        <w:gridCol w:w="1418"/>
        <w:gridCol w:w="1427"/>
        <w:gridCol w:w="1843"/>
        <w:gridCol w:w="2410"/>
        <w:gridCol w:w="1928"/>
      </w:tblGrid>
      <w:tr w:rsidR="0092149F" w:rsidRPr="002B7C45" w14:paraId="0B741B8C" w14:textId="77777777" w:rsidTr="009A4BC6">
        <w:trPr>
          <w:trHeight w:val="84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3E51343A" w14:textId="2B487CA7" w:rsidR="0092149F" w:rsidRPr="0092149F" w:rsidRDefault="0092149F" w:rsidP="0092149F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2"/>
              </w:rPr>
            </w:pPr>
            <w:bookmarkStart w:id="2" w:name="_Hlk128314546"/>
            <w:r w:rsidRPr="0092149F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2"/>
              </w:rPr>
              <w:t>项目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vAlign w:val="center"/>
            <w:hideMark/>
          </w:tcPr>
          <w:p w14:paraId="4C4D671E" w14:textId="171FD0DD" w:rsidR="0092149F" w:rsidRPr="0092149F" w:rsidRDefault="0092149F" w:rsidP="0092149F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2"/>
              </w:rPr>
            </w:pPr>
            <w:r w:rsidRPr="0092149F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2"/>
              </w:rPr>
              <w:t>美元指数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vAlign w:val="center"/>
            <w:hideMark/>
          </w:tcPr>
          <w:p w14:paraId="5079BFC4" w14:textId="1D6A9B7D" w:rsidR="0092149F" w:rsidRPr="0092149F" w:rsidRDefault="0092149F" w:rsidP="0092149F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2"/>
              </w:rPr>
            </w:pPr>
            <w:r w:rsidRPr="0092149F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2"/>
              </w:rPr>
              <w:t>美元兑人民币：中间价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vAlign w:val="center"/>
            <w:hideMark/>
          </w:tcPr>
          <w:p w14:paraId="69BEA22F" w14:textId="120D9F45" w:rsidR="0092149F" w:rsidRPr="0092149F" w:rsidRDefault="0092149F" w:rsidP="0092149F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2"/>
              </w:rPr>
            </w:pPr>
            <w:r w:rsidRPr="0092149F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2"/>
              </w:rPr>
              <w:t>美元兑人民币：即期汇率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FABF8F"/>
              <w:right w:val="single" w:sz="8" w:space="0" w:color="auto"/>
            </w:tcBorders>
            <w:shd w:val="clear" w:color="F79646" w:fill="F79646"/>
            <w:vAlign w:val="center"/>
            <w:hideMark/>
          </w:tcPr>
          <w:p w14:paraId="5160D910" w14:textId="3A9DF8D5" w:rsidR="0092149F" w:rsidRPr="0092149F" w:rsidRDefault="0092149F" w:rsidP="0092149F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2"/>
              </w:rPr>
            </w:pPr>
            <w:r w:rsidRPr="0092149F">
              <w:rPr>
                <w:rFonts w:asciiTheme="majorEastAsia" w:eastAsiaTheme="majorEastAsia" w:hAnsiTheme="majorEastAsia" w:hint="eastAsia"/>
                <w:b/>
                <w:bCs/>
                <w:color w:val="FFFFFF"/>
                <w:sz w:val="22"/>
              </w:rPr>
              <w:t>美元兑人民币：离岸</w:t>
            </w:r>
          </w:p>
        </w:tc>
      </w:tr>
      <w:tr w:rsidR="000645DD" w:rsidRPr="002B7C45" w14:paraId="59F835C5" w14:textId="77777777" w:rsidTr="00F626DA">
        <w:trPr>
          <w:trHeight w:val="280"/>
          <w:jc w:val="center"/>
        </w:trPr>
        <w:tc>
          <w:tcPr>
            <w:tcW w:w="141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00519072" w14:textId="4C213140" w:rsidR="000645DD" w:rsidRPr="0092149F" w:rsidRDefault="000645DD" w:rsidP="000645D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92149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选定日期</w:t>
            </w:r>
          </w:p>
        </w:tc>
        <w:tc>
          <w:tcPr>
            <w:tcW w:w="142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541F1CEF" w14:textId="1F4623E4" w:rsidR="000645DD" w:rsidRPr="000645DD" w:rsidRDefault="000645DD" w:rsidP="000645DD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645DD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103.4744</w:t>
            </w:r>
          </w:p>
        </w:tc>
        <w:tc>
          <w:tcPr>
            <w:tcW w:w="1843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48A5ED85" w14:textId="6531F508" w:rsidR="000645DD" w:rsidRPr="000645DD" w:rsidRDefault="000645DD" w:rsidP="000645DD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645DD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7.1074</w:t>
            </w:r>
          </w:p>
        </w:tc>
        <w:tc>
          <w:tcPr>
            <w:tcW w:w="241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2095D060" w14:textId="2759BC39" w:rsidR="000645DD" w:rsidRPr="000645DD" w:rsidRDefault="000645DD" w:rsidP="000645DD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645DD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7.1808</w:t>
            </w:r>
          </w:p>
        </w:tc>
        <w:tc>
          <w:tcPr>
            <w:tcW w:w="192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14:paraId="2E67AA2C" w14:textId="05173E08" w:rsidR="000645DD" w:rsidRPr="000645DD" w:rsidRDefault="000645DD" w:rsidP="000645DD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645DD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7.1885</w:t>
            </w:r>
          </w:p>
        </w:tc>
      </w:tr>
      <w:tr w:rsidR="000645DD" w:rsidRPr="002B7C45" w14:paraId="2FE8EBBD" w14:textId="77777777" w:rsidTr="00F626DA">
        <w:trPr>
          <w:trHeight w:val="280"/>
          <w:jc w:val="center"/>
        </w:trPr>
        <w:tc>
          <w:tcPr>
            <w:tcW w:w="141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2233B3F7" w14:textId="068C36ED" w:rsidR="000645DD" w:rsidRPr="0092149F" w:rsidRDefault="000645DD" w:rsidP="000645D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92149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对照日期</w:t>
            </w:r>
          </w:p>
        </w:tc>
        <w:tc>
          <w:tcPr>
            <w:tcW w:w="142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348BC5B3" w14:textId="683AE9D1" w:rsidR="000645DD" w:rsidRPr="000645DD" w:rsidRDefault="000645DD" w:rsidP="000645DD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645DD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103.2317</w:t>
            </w:r>
          </w:p>
        </w:tc>
        <w:tc>
          <w:tcPr>
            <w:tcW w:w="1843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712C3BFE" w14:textId="363685D9" w:rsidR="000645DD" w:rsidRPr="000645DD" w:rsidRDefault="000645DD" w:rsidP="000645DD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645DD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7.1167</w:t>
            </w:r>
          </w:p>
        </w:tc>
        <w:tc>
          <w:tcPr>
            <w:tcW w:w="241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4906628E" w14:textId="3FEBE9CF" w:rsidR="000645DD" w:rsidRPr="000645DD" w:rsidRDefault="000645DD" w:rsidP="000645DD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645DD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7.1938</w:t>
            </w:r>
          </w:p>
        </w:tc>
        <w:tc>
          <w:tcPr>
            <w:tcW w:w="192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FAEFD" w14:textId="2C29C9E8" w:rsidR="000645DD" w:rsidRPr="000645DD" w:rsidRDefault="000645DD" w:rsidP="000645DD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645DD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7.2035</w:t>
            </w:r>
          </w:p>
        </w:tc>
      </w:tr>
      <w:tr w:rsidR="000645DD" w:rsidRPr="002B7C45" w14:paraId="6B5D7900" w14:textId="77777777" w:rsidTr="00F626DA">
        <w:trPr>
          <w:trHeight w:val="280"/>
          <w:jc w:val="center"/>
        </w:trPr>
        <w:tc>
          <w:tcPr>
            <w:tcW w:w="1418" w:type="dxa"/>
            <w:tcBorders>
              <w:top w:val="single" w:sz="4" w:space="0" w:color="FABF8F"/>
              <w:left w:val="single" w:sz="8" w:space="0" w:color="auto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14:paraId="15A8849C" w14:textId="69275AB2" w:rsidR="000645DD" w:rsidRPr="0092149F" w:rsidRDefault="000645DD" w:rsidP="000645D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92149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涨跌</w:t>
            </w:r>
          </w:p>
        </w:tc>
        <w:tc>
          <w:tcPr>
            <w:tcW w:w="1427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14:paraId="7CF40B11" w14:textId="0681F66B" w:rsidR="000645DD" w:rsidRPr="000645DD" w:rsidRDefault="000645DD" w:rsidP="000645DD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645DD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0.24%</w:t>
            </w:r>
          </w:p>
        </w:tc>
        <w:tc>
          <w:tcPr>
            <w:tcW w:w="1843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14:paraId="3959866F" w14:textId="4EDE93BD" w:rsidR="000645DD" w:rsidRPr="000645DD" w:rsidRDefault="000645DD" w:rsidP="000645DD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645DD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0.13%</w:t>
            </w:r>
          </w:p>
        </w:tc>
        <w:tc>
          <w:tcPr>
            <w:tcW w:w="2410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14:paraId="3A872285" w14:textId="03FEEEFE" w:rsidR="000645DD" w:rsidRPr="000645DD" w:rsidRDefault="000645DD" w:rsidP="000645DD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645DD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0.18%</w:t>
            </w:r>
          </w:p>
        </w:tc>
        <w:tc>
          <w:tcPr>
            <w:tcW w:w="1928" w:type="dxa"/>
            <w:tcBorders>
              <w:top w:val="single" w:sz="4" w:space="0" w:color="FABF8F"/>
              <w:left w:val="nil"/>
              <w:bottom w:val="single" w:sz="8" w:space="0" w:color="auto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14:paraId="6D442C1E" w14:textId="6FD8B304" w:rsidR="000645DD" w:rsidRPr="000645DD" w:rsidRDefault="000645DD" w:rsidP="000645DD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0645DD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0.21%</w:t>
            </w:r>
          </w:p>
        </w:tc>
      </w:tr>
    </w:tbl>
    <w:p w14:paraId="7C19358A" w14:textId="77777777" w:rsidR="00383A48" w:rsidRDefault="00A932B7" w:rsidP="00F22AD4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数据来源：Wind</w:t>
      </w:r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/>
          <w:szCs w:val="21"/>
        </w:rPr>
        <w:t>鑫</w:t>
      </w:r>
      <w:proofErr w:type="gramEnd"/>
      <w:r>
        <w:rPr>
          <w:rFonts w:ascii="仿宋" w:eastAsia="仿宋" w:hAnsi="仿宋"/>
          <w:szCs w:val="21"/>
        </w:rPr>
        <w:t>元基金</w:t>
      </w:r>
    </w:p>
    <w:bookmarkEnd w:id="2"/>
    <w:p w14:paraId="6E27E704" w14:textId="77777777" w:rsidR="00383A48" w:rsidRDefault="00A932B7" w:rsidP="00F22AD4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注：外汇汇率数据为前周和上周最后一个交易日收盘价，涨跌</w:t>
      </w:r>
      <w:proofErr w:type="gramStart"/>
      <w:r>
        <w:rPr>
          <w:rFonts w:ascii="仿宋" w:eastAsia="仿宋" w:hAnsi="仿宋" w:hint="eastAsia"/>
          <w:szCs w:val="21"/>
        </w:rPr>
        <w:t>幅反映当</w:t>
      </w:r>
      <w:proofErr w:type="gramEnd"/>
      <w:r>
        <w:rPr>
          <w:rFonts w:ascii="仿宋" w:eastAsia="仿宋" w:hAnsi="仿宋" w:hint="eastAsia"/>
          <w:szCs w:val="21"/>
        </w:rPr>
        <w:t>周变动幅度</w:t>
      </w:r>
    </w:p>
    <w:p w14:paraId="0BD67646" w14:textId="77777777" w:rsidR="00383A48" w:rsidRDefault="00A932B7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四、市场展望及投资策略</w:t>
      </w:r>
    </w:p>
    <w:p w14:paraId="3D840B9C" w14:textId="77777777" w:rsidR="00383A48" w:rsidRDefault="00A932B7">
      <w:pPr>
        <w:spacing w:line="360" w:lineRule="auto"/>
        <w:ind w:firstLineChars="200" w:firstLine="482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（一）宏观展望</w:t>
      </w:r>
    </w:p>
    <w:p w14:paraId="0A6C3B00" w14:textId="77777777" w:rsidR="00745FA4" w:rsidRPr="00745FA4" w:rsidRDefault="00745FA4" w:rsidP="00745FA4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745FA4">
        <w:rPr>
          <w:rFonts w:ascii="仿宋" w:eastAsia="仿宋" w:hAnsi="仿宋" w:hint="eastAsia"/>
          <w:bCs/>
          <w:sz w:val="24"/>
          <w:szCs w:val="24"/>
        </w:rPr>
        <w:t>开年以来，股市加速下跌，货币政策力度加大有助于稳增长，推动物价温和回升，有助于维护市场稳定，提振信心。2023年工业企业利润增速连续两年负增长，营收增速仅好于2020年表现。但下半年，在营收偏弱的情况下，企业利润增速持续震荡回升，需要更积极灵活的政策推动企业部门恢复活力。</w:t>
      </w:r>
    </w:p>
    <w:p w14:paraId="178CB97F" w14:textId="7520136A" w:rsidR="002D0E68" w:rsidRPr="007306E7" w:rsidRDefault="00745FA4" w:rsidP="00745FA4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745FA4">
        <w:rPr>
          <w:rFonts w:ascii="仿宋" w:eastAsia="仿宋" w:hAnsi="仿宋" w:hint="eastAsia"/>
          <w:bCs/>
          <w:sz w:val="24"/>
          <w:szCs w:val="24"/>
        </w:rPr>
        <w:t>海外方面，美国23Q4经济增长再超预期，美国政府逆全球化的政策导向下，美国居民消费偏热的可持续性较强，居民消费需求对供给的拉动作用有所强化，2024年或将延续强劲态势。欧元区经济已经“陷入停滞”，美元指数或将长期处于高位</w:t>
      </w:r>
      <w:r w:rsidR="00BD416E" w:rsidRPr="00BD416E">
        <w:rPr>
          <w:rFonts w:ascii="仿宋" w:eastAsia="仿宋" w:hAnsi="仿宋" w:hint="eastAsia"/>
          <w:bCs/>
          <w:sz w:val="24"/>
          <w:szCs w:val="24"/>
        </w:rPr>
        <w:t>。</w:t>
      </w:r>
    </w:p>
    <w:p w14:paraId="548355D7" w14:textId="77777777" w:rsidR="00383A48" w:rsidRDefault="00A932B7">
      <w:pPr>
        <w:spacing w:line="360" w:lineRule="auto"/>
        <w:ind w:firstLineChars="200" w:firstLine="482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（二）</w:t>
      </w:r>
      <w:r>
        <w:rPr>
          <w:rFonts w:ascii="楷体" w:eastAsia="楷体" w:hAnsi="楷体"/>
          <w:b/>
          <w:bCs/>
          <w:sz w:val="24"/>
          <w:szCs w:val="24"/>
        </w:rPr>
        <w:t>权益市场展望和策略</w:t>
      </w:r>
    </w:p>
    <w:p w14:paraId="7A29C263" w14:textId="203CD62D" w:rsidR="006C6863" w:rsidRPr="006C6863" w:rsidRDefault="006C6863" w:rsidP="006C686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C6863">
        <w:rPr>
          <w:rFonts w:ascii="仿宋" w:eastAsia="仿宋" w:hAnsi="仿宋" w:hint="eastAsia"/>
          <w:sz w:val="24"/>
          <w:szCs w:val="24"/>
        </w:rPr>
        <w:t>上周权益市场创新低后呈现V型走势。前半周雪球引发的资金负反馈导致市场情绪极差。上证指数</w:t>
      </w:r>
      <w:r w:rsidR="000E0B07">
        <w:rPr>
          <w:rFonts w:ascii="仿宋" w:eastAsia="仿宋" w:hAnsi="仿宋" w:hint="eastAsia"/>
          <w:sz w:val="24"/>
          <w:szCs w:val="24"/>
        </w:rPr>
        <w:t>上</w:t>
      </w:r>
      <w:r w:rsidRPr="006C6863">
        <w:rPr>
          <w:rFonts w:ascii="仿宋" w:eastAsia="仿宋" w:hAnsi="仿宋" w:hint="eastAsia"/>
          <w:sz w:val="24"/>
          <w:szCs w:val="24"/>
        </w:rPr>
        <w:t>周一下跌2.68%，破2800，</w:t>
      </w:r>
      <w:r w:rsidR="000E0B07">
        <w:rPr>
          <w:rFonts w:ascii="仿宋" w:eastAsia="仿宋" w:hAnsi="仿宋" w:hint="eastAsia"/>
          <w:sz w:val="24"/>
          <w:szCs w:val="24"/>
        </w:rPr>
        <w:t>上</w:t>
      </w:r>
      <w:r w:rsidRPr="006C6863">
        <w:rPr>
          <w:rFonts w:ascii="仿宋" w:eastAsia="仿宋" w:hAnsi="仿宋" w:hint="eastAsia"/>
          <w:sz w:val="24"/>
          <w:szCs w:val="24"/>
        </w:rPr>
        <w:t>周二日内最低触及2724点。周中超预期降准、房地产政策、资金支持，托底市场，</w:t>
      </w:r>
      <w:r w:rsidR="000E0B07">
        <w:rPr>
          <w:rFonts w:ascii="仿宋" w:eastAsia="仿宋" w:hAnsi="仿宋" w:hint="eastAsia"/>
          <w:sz w:val="24"/>
          <w:szCs w:val="24"/>
        </w:rPr>
        <w:t>上</w:t>
      </w:r>
      <w:r w:rsidRPr="006C6863">
        <w:rPr>
          <w:rFonts w:ascii="仿宋" w:eastAsia="仿宋" w:hAnsi="仿宋" w:hint="eastAsia"/>
          <w:sz w:val="24"/>
          <w:szCs w:val="24"/>
        </w:rPr>
        <w:t>周三日内反转，</w:t>
      </w:r>
      <w:r w:rsidR="000E0B07">
        <w:rPr>
          <w:rFonts w:ascii="仿宋" w:eastAsia="仿宋" w:hAnsi="仿宋" w:hint="eastAsia"/>
          <w:sz w:val="24"/>
          <w:szCs w:val="24"/>
        </w:rPr>
        <w:t>上</w:t>
      </w:r>
      <w:r w:rsidRPr="006C6863">
        <w:rPr>
          <w:rFonts w:ascii="仿宋" w:eastAsia="仿宋" w:hAnsi="仿宋" w:hint="eastAsia"/>
          <w:sz w:val="24"/>
          <w:szCs w:val="24"/>
        </w:rPr>
        <w:t>周四指数暴涨3.03%。</w:t>
      </w:r>
      <w:r w:rsidR="000E0B07">
        <w:rPr>
          <w:rFonts w:ascii="仿宋" w:eastAsia="仿宋" w:hAnsi="仿宋" w:hint="eastAsia"/>
          <w:sz w:val="24"/>
          <w:szCs w:val="24"/>
        </w:rPr>
        <w:t>上</w:t>
      </w:r>
      <w:r w:rsidRPr="006C6863">
        <w:rPr>
          <w:rFonts w:ascii="仿宋" w:eastAsia="仿宋" w:hAnsi="仿宋" w:hint="eastAsia"/>
          <w:sz w:val="24"/>
          <w:szCs w:val="24"/>
        </w:rPr>
        <w:t>周五从北向资金买入、ETF净申购情况来看托底力量似乎有所减弱，叠加海外因素扰动，市场风格重回红利+微盘。风格层面，上周大盘价值和红利指数表现较好，成长风格、微盘股指数下跌。资金方面，北向资金呈大幅净流入，连续两周股票ETF净申购规模超过200亿份。</w:t>
      </w:r>
    </w:p>
    <w:p w14:paraId="5F0383F2" w14:textId="78120368" w:rsidR="008E4FFA" w:rsidRDefault="006C6863" w:rsidP="006C686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C6863">
        <w:rPr>
          <w:rFonts w:ascii="仿宋" w:eastAsia="仿宋" w:hAnsi="仿宋" w:hint="eastAsia"/>
          <w:sz w:val="24"/>
          <w:szCs w:val="24"/>
        </w:rPr>
        <w:t>市场中长期观点维持不变，结构性机会丰富，看好经营稳健竞争优势突出的低估值白马和经济</w:t>
      </w:r>
      <w:proofErr w:type="gramStart"/>
      <w:r w:rsidRPr="006C6863">
        <w:rPr>
          <w:rFonts w:ascii="仿宋" w:eastAsia="仿宋" w:hAnsi="仿宋" w:hint="eastAsia"/>
          <w:sz w:val="24"/>
          <w:szCs w:val="24"/>
        </w:rPr>
        <w:t>低相关</w:t>
      </w:r>
      <w:proofErr w:type="gramEnd"/>
      <w:r w:rsidRPr="006C6863">
        <w:rPr>
          <w:rFonts w:ascii="仿宋" w:eastAsia="仿宋" w:hAnsi="仿宋" w:hint="eastAsia"/>
          <w:sz w:val="24"/>
          <w:szCs w:val="24"/>
        </w:rPr>
        <w:t>度的投资机会。短期观点，</w:t>
      </w:r>
      <w:proofErr w:type="gramStart"/>
      <w:r w:rsidRPr="006C6863">
        <w:rPr>
          <w:rFonts w:ascii="仿宋" w:eastAsia="仿宋" w:hAnsi="仿宋" w:hint="eastAsia"/>
          <w:sz w:val="24"/>
          <w:szCs w:val="24"/>
        </w:rPr>
        <w:t>超跌由流动性</w:t>
      </w:r>
      <w:proofErr w:type="gramEnd"/>
      <w:r w:rsidRPr="006C6863">
        <w:rPr>
          <w:rFonts w:ascii="仿宋" w:eastAsia="仿宋" w:hAnsi="仿宋" w:hint="eastAsia"/>
          <w:sz w:val="24"/>
          <w:szCs w:val="24"/>
        </w:rPr>
        <w:t>负反馈引发，短期反弹也更多是由资金驱动，资金流入的方向、筹码压力较小的方向就是反弹阻力最小的方向。经营稳健、竞争优势突出的低估值白马存在估值、盈利双重逻辑，且有资金持续流入。外力只构成托底指数</w:t>
      </w:r>
      <w:r w:rsidRPr="006C6863">
        <w:rPr>
          <w:rFonts w:ascii="仿宋" w:eastAsia="仿宋" w:hAnsi="仿宋" w:hint="eastAsia"/>
          <w:sz w:val="24"/>
          <w:szCs w:val="24"/>
        </w:rPr>
        <w:lastRenderedPageBreak/>
        <w:t>和降低流动性负反馈的影响，上涨的空间最终取决于盈利和估值的平衡。价值/成长相对表现已突破长期历史高点，小盘风格有一定回归。往后看，如果流动性能企稳，在弱势震荡的市场环境下认为小盘和价值风格仍然会占优，部分价值板块具体行业和标的关注估值和成交过热的问题。</w:t>
      </w:r>
    </w:p>
    <w:p w14:paraId="70CBF61A" w14:textId="207B384B" w:rsidR="00383A48" w:rsidRDefault="00A932B7" w:rsidP="00B00E38">
      <w:pPr>
        <w:spacing w:line="360" w:lineRule="auto"/>
        <w:ind w:firstLineChars="200" w:firstLine="482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（三）</w:t>
      </w:r>
      <w:r>
        <w:rPr>
          <w:rFonts w:ascii="楷体" w:eastAsia="楷体" w:hAnsi="楷体"/>
          <w:b/>
          <w:bCs/>
          <w:sz w:val="24"/>
          <w:szCs w:val="24"/>
        </w:rPr>
        <w:t>债券市场展望和策略</w:t>
      </w:r>
    </w:p>
    <w:p w14:paraId="38BDFF30" w14:textId="77777777" w:rsidR="00745FA4" w:rsidRPr="00A01F54" w:rsidRDefault="00745FA4" w:rsidP="00745FA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基本面方面，</w:t>
      </w:r>
      <w:r w:rsidRPr="009D5511">
        <w:rPr>
          <w:rFonts w:ascii="仿宋" w:eastAsia="仿宋" w:hAnsi="仿宋" w:cs="Times New Roman" w:hint="eastAsia"/>
          <w:sz w:val="24"/>
          <w:szCs w:val="24"/>
        </w:rPr>
        <w:t>开年来多数高频</w:t>
      </w:r>
      <w:proofErr w:type="gramStart"/>
      <w:r w:rsidRPr="009D5511">
        <w:rPr>
          <w:rFonts w:ascii="仿宋" w:eastAsia="仿宋" w:hAnsi="仿宋" w:cs="Times New Roman" w:hint="eastAsia"/>
          <w:sz w:val="24"/>
          <w:szCs w:val="24"/>
        </w:rPr>
        <w:t>数据环</w:t>
      </w:r>
      <w:proofErr w:type="gramEnd"/>
      <w:r w:rsidRPr="009D5511">
        <w:rPr>
          <w:rFonts w:ascii="仿宋" w:eastAsia="仿宋" w:hAnsi="仿宋" w:cs="Times New Roman" w:hint="eastAsia"/>
          <w:sz w:val="24"/>
          <w:szCs w:val="24"/>
        </w:rPr>
        <w:t>比基本平稳，由于春节错位，同比偏高；</w:t>
      </w:r>
      <w:r>
        <w:rPr>
          <w:rFonts w:ascii="仿宋" w:eastAsia="仿宋" w:hAnsi="仿宋" w:cs="Times New Roman" w:hint="eastAsia"/>
          <w:sz w:val="24"/>
          <w:szCs w:val="24"/>
        </w:rPr>
        <w:t>可喜</w:t>
      </w:r>
      <w:r w:rsidRPr="009D5511">
        <w:rPr>
          <w:rFonts w:ascii="仿宋" w:eastAsia="仿宋" w:hAnsi="仿宋" w:cs="Times New Roman" w:hint="eastAsia"/>
          <w:sz w:val="24"/>
          <w:szCs w:val="24"/>
        </w:rPr>
        <w:t>的是出口高频指标延续回暖，</w:t>
      </w:r>
      <w:r>
        <w:rPr>
          <w:rFonts w:ascii="仿宋" w:eastAsia="仿宋" w:hAnsi="仿宋" w:cs="Times New Roman" w:hint="eastAsia"/>
          <w:sz w:val="24"/>
          <w:szCs w:val="24"/>
        </w:rPr>
        <w:t>但地产相关数据表现</w:t>
      </w:r>
      <w:r w:rsidRPr="009D5511">
        <w:rPr>
          <w:rFonts w:ascii="仿宋" w:eastAsia="仿宋" w:hAnsi="仿宋" w:cs="Times New Roman" w:hint="eastAsia"/>
          <w:sz w:val="24"/>
          <w:szCs w:val="24"/>
        </w:rPr>
        <w:t>仍弱；由于低温环境，目前基建相关的高频数据还没有明显变化；后续需重点关注国外需求、库存改善能否带动国内出口延续修复势头，另外关注春节后整个基建、“三大工程”施工节奏</w:t>
      </w:r>
      <w:r>
        <w:rPr>
          <w:rFonts w:ascii="仿宋" w:eastAsia="仿宋" w:hAnsi="仿宋" w:cs="Times New Roman" w:hint="eastAsia"/>
          <w:sz w:val="24"/>
          <w:szCs w:val="24"/>
        </w:rPr>
        <w:t>，以及新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一轮稳增长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政策的政策效果。</w:t>
      </w:r>
    </w:p>
    <w:p w14:paraId="6BF3A1C3" w14:textId="77777777" w:rsidR="00745FA4" w:rsidRDefault="00745FA4" w:rsidP="00745FA4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流动性方面</w:t>
      </w:r>
      <w:r w:rsidRPr="007E0E40">
        <w:rPr>
          <w:rFonts w:ascii="仿宋" w:eastAsia="仿宋" w:hAnsi="仿宋" w:cs="Times New Roman"/>
          <w:sz w:val="24"/>
          <w:szCs w:val="24"/>
        </w:rPr>
        <w:t>，</w:t>
      </w:r>
      <w:r w:rsidRPr="009D5511">
        <w:rPr>
          <w:rFonts w:ascii="仿宋" w:eastAsia="仿宋" w:hAnsi="仿宋" w:cs="Times New Roman"/>
          <w:sz w:val="24"/>
          <w:szCs w:val="24"/>
        </w:rPr>
        <w:t>从跨年、</w:t>
      </w:r>
      <w:proofErr w:type="gramStart"/>
      <w:r w:rsidRPr="009D5511">
        <w:rPr>
          <w:rFonts w:ascii="仿宋" w:eastAsia="仿宋" w:hAnsi="仿宋" w:cs="Times New Roman"/>
          <w:sz w:val="24"/>
          <w:szCs w:val="24"/>
        </w:rPr>
        <w:t>税期净投放</w:t>
      </w:r>
      <w:proofErr w:type="gramEnd"/>
      <w:r w:rsidRPr="009D5511">
        <w:rPr>
          <w:rFonts w:ascii="仿宋" w:eastAsia="仿宋" w:hAnsi="仿宋" w:cs="Times New Roman"/>
          <w:sz w:val="24"/>
          <w:szCs w:val="24"/>
        </w:rPr>
        <w:t>规模来看，央行对于资金面的呵护力度</w:t>
      </w:r>
      <w:r>
        <w:rPr>
          <w:rFonts w:ascii="仿宋" w:eastAsia="仿宋" w:hAnsi="仿宋" w:cs="Times New Roman"/>
          <w:sz w:val="24"/>
          <w:szCs w:val="24"/>
        </w:rPr>
        <w:t>诚意满满</w:t>
      </w:r>
      <w:r>
        <w:rPr>
          <w:rFonts w:ascii="仿宋" w:eastAsia="仿宋" w:hAnsi="仿宋" w:cs="Times New Roman" w:hint="eastAsia"/>
          <w:sz w:val="24"/>
          <w:szCs w:val="24"/>
        </w:rPr>
        <w:t>，</w:t>
      </w:r>
      <w:r w:rsidRPr="009D5511">
        <w:rPr>
          <w:rFonts w:ascii="仿宋" w:eastAsia="仿宋" w:hAnsi="仿宋" w:cs="Times New Roman" w:hint="eastAsia"/>
          <w:sz w:val="24"/>
          <w:szCs w:val="24"/>
        </w:rPr>
        <w:t>超</w:t>
      </w:r>
      <w:proofErr w:type="gramStart"/>
      <w:r w:rsidRPr="009D5511">
        <w:rPr>
          <w:rFonts w:ascii="仿宋" w:eastAsia="仿宋" w:hAnsi="仿宋" w:cs="Times New Roman" w:hint="eastAsia"/>
          <w:sz w:val="24"/>
          <w:szCs w:val="24"/>
        </w:rPr>
        <w:t>预期降准</w:t>
      </w:r>
      <w:proofErr w:type="gramEnd"/>
      <w:r w:rsidRPr="009D5511">
        <w:rPr>
          <w:rFonts w:ascii="仿宋" w:eastAsia="仿宋" w:hAnsi="仿宋" w:cs="Times New Roman" w:hint="eastAsia"/>
          <w:sz w:val="24"/>
          <w:szCs w:val="24"/>
        </w:rPr>
        <w:t>0</w:t>
      </w:r>
      <w:r w:rsidRPr="009D5511">
        <w:rPr>
          <w:rFonts w:ascii="仿宋" w:eastAsia="仿宋" w:hAnsi="仿宋" w:cs="Times New Roman"/>
          <w:sz w:val="24"/>
          <w:szCs w:val="24"/>
        </w:rPr>
        <w:t>.5%能够释放</w:t>
      </w:r>
      <w:r w:rsidRPr="009D5511">
        <w:rPr>
          <w:rFonts w:ascii="仿宋" w:eastAsia="仿宋" w:hAnsi="仿宋" w:cs="Times New Roman" w:hint="eastAsia"/>
          <w:sz w:val="24"/>
          <w:szCs w:val="24"/>
        </w:rPr>
        <w:t>1</w:t>
      </w:r>
      <w:proofErr w:type="gramStart"/>
      <w:r w:rsidRPr="009D5511">
        <w:rPr>
          <w:rFonts w:ascii="仿宋" w:eastAsia="仿宋" w:hAnsi="仿宋" w:cs="Times New Roman" w:hint="eastAsia"/>
          <w:sz w:val="24"/>
          <w:szCs w:val="24"/>
        </w:rPr>
        <w:t>万亿</w:t>
      </w:r>
      <w:proofErr w:type="gramEnd"/>
      <w:r w:rsidRPr="009D5511">
        <w:rPr>
          <w:rFonts w:ascii="仿宋" w:eastAsia="仿宋" w:hAnsi="仿宋" w:cs="Times New Roman" w:hint="eastAsia"/>
          <w:sz w:val="24"/>
          <w:szCs w:val="24"/>
        </w:rPr>
        <w:t>长期稳定资金，</w:t>
      </w:r>
      <w:proofErr w:type="gramStart"/>
      <w:r w:rsidRPr="009D5511">
        <w:rPr>
          <w:rFonts w:ascii="仿宋" w:eastAsia="仿宋" w:hAnsi="仿宋" w:cs="Times New Roman" w:hint="eastAsia"/>
          <w:sz w:val="24"/>
          <w:szCs w:val="24"/>
        </w:rPr>
        <w:t>跨春节</w:t>
      </w:r>
      <w:proofErr w:type="gramEnd"/>
      <w:r w:rsidRPr="009D5511">
        <w:rPr>
          <w:rFonts w:ascii="仿宋" w:eastAsia="仿宋" w:hAnsi="仿宋" w:cs="Times New Roman" w:hint="eastAsia"/>
          <w:sz w:val="24"/>
          <w:szCs w:val="24"/>
        </w:rPr>
        <w:t>资金面大概率</w:t>
      </w:r>
      <w:r>
        <w:rPr>
          <w:rFonts w:ascii="仿宋" w:eastAsia="仿宋" w:hAnsi="仿宋" w:cs="Times New Roman" w:hint="eastAsia"/>
          <w:sz w:val="24"/>
          <w:szCs w:val="24"/>
        </w:rPr>
        <w:t>无忧，后续需重点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关注降准后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资金价格的稳定性、价格中枢有无</w:t>
      </w:r>
      <w:r w:rsidRPr="009D5511">
        <w:rPr>
          <w:rFonts w:ascii="仿宋" w:eastAsia="仿宋" w:hAnsi="仿宋" w:cs="Times New Roman" w:hint="eastAsia"/>
          <w:sz w:val="24"/>
          <w:szCs w:val="24"/>
        </w:rPr>
        <w:t>明显</w:t>
      </w:r>
      <w:r>
        <w:rPr>
          <w:rFonts w:ascii="仿宋" w:eastAsia="仿宋" w:hAnsi="仿宋" w:cs="Times New Roman" w:hint="eastAsia"/>
          <w:sz w:val="24"/>
          <w:szCs w:val="24"/>
        </w:rPr>
        <w:t>改善</w:t>
      </w:r>
      <w:r w:rsidRPr="009D5511">
        <w:rPr>
          <w:rFonts w:ascii="仿宋" w:eastAsia="仿宋" w:hAnsi="仿宋" w:cs="Times New Roman"/>
          <w:sz w:val="24"/>
          <w:szCs w:val="24"/>
        </w:rPr>
        <w:t>。</w:t>
      </w:r>
    </w:p>
    <w:p w14:paraId="5BAD45D2" w14:textId="7C91A10F" w:rsidR="00383A48" w:rsidRDefault="00745FA4" w:rsidP="00745FA4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580EBE">
        <w:rPr>
          <w:rFonts w:ascii="仿宋" w:eastAsia="仿宋" w:hAnsi="仿宋" w:cs="Times New Roman" w:hint="eastAsia"/>
          <w:sz w:val="24"/>
          <w:szCs w:val="24"/>
        </w:rPr>
        <w:t>目前，</w:t>
      </w:r>
      <w:proofErr w:type="gramStart"/>
      <w:r w:rsidRPr="00580EBE">
        <w:rPr>
          <w:rFonts w:ascii="仿宋" w:eastAsia="仿宋" w:hAnsi="仿宋" w:cs="Times New Roman"/>
          <w:sz w:val="24"/>
          <w:szCs w:val="24"/>
        </w:rPr>
        <w:t>一</w:t>
      </w:r>
      <w:r w:rsidRPr="00580EBE">
        <w:rPr>
          <w:rFonts w:ascii="仿宋" w:eastAsia="仿宋" w:hAnsi="仿宋" w:cs="Times New Roman" w:hint="eastAsia"/>
          <w:sz w:val="24"/>
          <w:szCs w:val="24"/>
        </w:rPr>
        <w:t>年国股</w:t>
      </w:r>
      <w:proofErr w:type="gramEnd"/>
      <w:r w:rsidRPr="00580EBE">
        <w:rPr>
          <w:rFonts w:ascii="仿宋" w:eastAsia="仿宋" w:hAnsi="仿宋" w:cs="Times New Roman" w:hint="eastAsia"/>
          <w:sz w:val="24"/>
          <w:szCs w:val="24"/>
        </w:rPr>
        <w:t>2</w:t>
      </w:r>
      <w:r w:rsidRPr="00580EBE">
        <w:rPr>
          <w:rFonts w:ascii="仿宋" w:eastAsia="仿宋" w:hAnsi="仿宋" w:cs="Times New Roman"/>
          <w:sz w:val="24"/>
          <w:szCs w:val="24"/>
        </w:rPr>
        <w:t>.4</w:t>
      </w:r>
      <w:r>
        <w:rPr>
          <w:rFonts w:ascii="仿宋" w:eastAsia="仿宋" w:hAnsi="仿宋" w:cs="Times New Roman"/>
          <w:sz w:val="24"/>
          <w:szCs w:val="24"/>
        </w:rPr>
        <w:t>1</w:t>
      </w:r>
      <w:r w:rsidRPr="00580EBE">
        <w:rPr>
          <w:rFonts w:ascii="仿宋" w:eastAsia="仿宋" w:hAnsi="仿宋" w:cs="Times New Roman" w:hint="eastAsia"/>
          <w:sz w:val="24"/>
          <w:szCs w:val="24"/>
        </w:rPr>
        <w:t>%，1</w:t>
      </w:r>
      <w:r w:rsidRPr="00580EBE">
        <w:rPr>
          <w:rFonts w:ascii="仿宋" w:eastAsia="仿宋" w:hAnsi="仿宋" w:cs="Times New Roman"/>
          <w:sz w:val="24"/>
          <w:szCs w:val="24"/>
        </w:rPr>
        <w:t>0年国债</w:t>
      </w:r>
      <w:r w:rsidRPr="00580EBE">
        <w:rPr>
          <w:rFonts w:ascii="仿宋" w:eastAsia="仿宋" w:hAnsi="仿宋" w:cs="Times New Roman" w:hint="eastAsia"/>
          <w:sz w:val="24"/>
          <w:szCs w:val="24"/>
        </w:rPr>
        <w:t>2</w:t>
      </w:r>
      <w:r w:rsidRPr="00580EBE">
        <w:rPr>
          <w:rFonts w:ascii="仿宋" w:eastAsia="仿宋" w:hAnsi="仿宋" w:cs="Times New Roman"/>
          <w:sz w:val="24"/>
          <w:szCs w:val="24"/>
        </w:rPr>
        <w:t>.5%，</w:t>
      </w:r>
      <w:r w:rsidRPr="00580EBE">
        <w:rPr>
          <w:rFonts w:ascii="仿宋" w:eastAsia="仿宋" w:hAnsi="仿宋" w:cs="Times New Roman" w:hint="eastAsia"/>
          <w:sz w:val="24"/>
          <w:szCs w:val="24"/>
        </w:rPr>
        <w:t>3</w:t>
      </w:r>
      <w:r w:rsidRPr="00580EBE">
        <w:rPr>
          <w:rFonts w:ascii="仿宋" w:eastAsia="仿宋" w:hAnsi="仿宋" w:cs="Times New Roman"/>
          <w:sz w:val="24"/>
          <w:szCs w:val="24"/>
        </w:rPr>
        <w:t>0年国债2.7</w:t>
      </w:r>
      <w:r>
        <w:rPr>
          <w:rFonts w:ascii="仿宋" w:eastAsia="仿宋" w:hAnsi="仿宋" w:cs="Times New Roman"/>
          <w:sz w:val="24"/>
          <w:szCs w:val="24"/>
        </w:rPr>
        <w:t>3</w:t>
      </w:r>
      <w:r w:rsidRPr="00580EBE">
        <w:rPr>
          <w:rFonts w:ascii="仿宋" w:eastAsia="仿宋" w:hAnsi="仿宋" w:cs="Times New Roman"/>
          <w:sz w:val="24"/>
          <w:szCs w:val="24"/>
        </w:rPr>
        <w:t>%，曲线</w:t>
      </w:r>
      <w:r>
        <w:rPr>
          <w:rFonts w:ascii="仿宋" w:eastAsia="仿宋" w:hAnsi="仿宋" w:cs="Times New Roman"/>
          <w:sz w:val="24"/>
          <w:szCs w:val="24"/>
        </w:rPr>
        <w:t>小幅</w:t>
      </w:r>
      <w:r w:rsidRPr="00580EBE">
        <w:rPr>
          <w:rFonts w:ascii="仿宋" w:eastAsia="仿宋" w:hAnsi="仿宋" w:cs="Times New Roman"/>
          <w:sz w:val="24"/>
          <w:szCs w:val="24"/>
        </w:rPr>
        <w:t>牛</w:t>
      </w:r>
      <w:r>
        <w:rPr>
          <w:rFonts w:ascii="仿宋" w:eastAsia="仿宋" w:hAnsi="仿宋" w:cs="Times New Roman"/>
          <w:sz w:val="24"/>
          <w:szCs w:val="24"/>
        </w:rPr>
        <w:t>陡</w:t>
      </w:r>
      <w:r w:rsidRPr="00580EBE">
        <w:rPr>
          <w:rFonts w:ascii="仿宋" w:eastAsia="仿宋" w:hAnsi="仿宋" w:cs="Times New Roman"/>
          <w:sz w:val="24"/>
          <w:szCs w:val="24"/>
        </w:rPr>
        <w:t>。</w:t>
      </w:r>
      <w:r>
        <w:rPr>
          <w:rFonts w:ascii="仿宋" w:eastAsia="仿宋" w:hAnsi="仿宋" w:cs="Times New Roman"/>
          <w:sz w:val="24"/>
          <w:szCs w:val="24"/>
        </w:rPr>
        <w:t>展望未来，</w:t>
      </w:r>
      <w:r w:rsidRPr="00C16079">
        <w:rPr>
          <w:rFonts w:ascii="仿宋" w:eastAsia="仿宋" w:hAnsi="仿宋" w:cs="Times New Roman" w:hint="eastAsia"/>
          <w:sz w:val="24"/>
          <w:szCs w:val="24"/>
        </w:rPr>
        <w:t>目前</w:t>
      </w:r>
      <w:r>
        <w:rPr>
          <w:rFonts w:ascii="仿宋" w:eastAsia="仿宋" w:hAnsi="仿宋" w:cs="Times New Roman" w:hint="eastAsia"/>
          <w:sz w:val="24"/>
          <w:szCs w:val="24"/>
        </w:rPr>
        <w:t>长端</w:t>
      </w:r>
      <w:r w:rsidRPr="00C16079">
        <w:rPr>
          <w:rFonts w:ascii="仿宋" w:eastAsia="仿宋" w:hAnsi="仿宋" w:cs="Times New Roman" w:hint="eastAsia"/>
          <w:sz w:val="24"/>
          <w:szCs w:val="24"/>
        </w:rPr>
        <w:t>已</w:t>
      </w:r>
      <w:r>
        <w:rPr>
          <w:rFonts w:ascii="仿宋" w:eastAsia="仿宋" w:hAnsi="仿宋" w:cs="Times New Roman" w:hint="eastAsia"/>
          <w:sz w:val="24"/>
          <w:szCs w:val="24"/>
        </w:rPr>
        <w:t>创新低</w:t>
      </w:r>
      <w:r w:rsidRPr="00C16079">
        <w:rPr>
          <w:rFonts w:ascii="仿宋" w:eastAsia="仿宋" w:hAnsi="仿宋" w:cs="Times New Roman" w:hint="eastAsia"/>
          <w:sz w:val="24"/>
          <w:szCs w:val="24"/>
        </w:rPr>
        <w:t>，未来进一步下行需要看到短</w:t>
      </w:r>
      <w:proofErr w:type="gramStart"/>
      <w:r w:rsidRPr="00C16079">
        <w:rPr>
          <w:rFonts w:ascii="仿宋" w:eastAsia="仿宋" w:hAnsi="仿宋" w:cs="Times New Roman" w:hint="eastAsia"/>
          <w:sz w:val="24"/>
          <w:szCs w:val="24"/>
        </w:rPr>
        <w:t>端利率</w:t>
      </w:r>
      <w:proofErr w:type="gramEnd"/>
      <w:r w:rsidRPr="00C16079">
        <w:rPr>
          <w:rFonts w:ascii="仿宋" w:eastAsia="仿宋" w:hAnsi="仿宋" w:cs="Times New Roman" w:hint="eastAsia"/>
          <w:sz w:val="24"/>
          <w:szCs w:val="24"/>
        </w:rPr>
        <w:t>更大幅度的下行带动</w:t>
      </w:r>
      <w:proofErr w:type="gramStart"/>
      <w:r w:rsidRPr="00C16079">
        <w:rPr>
          <w:rFonts w:ascii="仿宋" w:eastAsia="仿宋" w:hAnsi="仿宋" w:cs="Times New Roman" w:hint="eastAsia"/>
          <w:sz w:val="24"/>
          <w:szCs w:val="24"/>
        </w:rPr>
        <w:t>牛陡行情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;</w:t>
      </w:r>
      <w:r w:rsidRPr="00C16079">
        <w:rPr>
          <w:rFonts w:ascii="仿宋" w:eastAsia="仿宋" w:hAnsi="仿宋" w:cs="Times New Roman"/>
          <w:sz w:val="24"/>
          <w:szCs w:val="24"/>
        </w:rPr>
        <w:t>今年货币宽松的大环境短期不会变，</w:t>
      </w:r>
      <w:r>
        <w:rPr>
          <w:rFonts w:ascii="仿宋" w:eastAsia="仿宋" w:hAnsi="仿宋" w:cs="Times New Roman" w:hint="eastAsia"/>
          <w:sz w:val="24"/>
          <w:szCs w:val="24"/>
        </w:rPr>
        <w:t>降准、降息确有必要</w:t>
      </w:r>
      <w:r w:rsidRPr="00C16079">
        <w:rPr>
          <w:rFonts w:ascii="仿宋" w:eastAsia="仿宋" w:hAnsi="仿宋" w:cs="Times New Roman" w:hint="eastAsia"/>
          <w:sz w:val="24"/>
          <w:szCs w:val="24"/>
        </w:rPr>
        <w:t>且可能不止一次，</w:t>
      </w:r>
      <w:r>
        <w:rPr>
          <w:rFonts w:ascii="仿宋" w:eastAsia="仿宋" w:hAnsi="仿宋" w:cs="Times New Roman" w:hint="eastAsia"/>
          <w:sz w:val="24"/>
          <w:szCs w:val="24"/>
        </w:rPr>
        <w:t>目前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降准已经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落地，时点、幅度、公布方式均有所超预期，虽然资金价格中枢不降反升，但市场抢跑明显，尤其中短端下行明显；</w:t>
      </w:r>
      <w:r w:rsidRPr="00C64582">
        <w:rPr>
          <w:rFonts w:ascii="仿宋" w:eastAsia="仿宋" w:hAnsi="仿宋" w:cs="Times New Roman"/>
          <w:sz w:val="24"/>
          <w:szCs w:val="24"/>
        </w:rPr>
        <w:t>政策利率的调降可能要等到银行</w:t>
      </w:r>
      <w:r>
        <w:rPr>
          <w:rFonts w:ascii="仿宋" w:eastAsia="仿宋" w:hAnsi="仿宋" w:cs="Times New Roman"/>
          <w:sz w:val="24"/>
          <w:szCs w:val="24"/>
        </w:rPr>
        <w:t>净息</w:t>
      </w:r>
      <w:proofErr w:type="gramStart"/>
      <w:r>
        <w:rPr>
          <w:rFonts w:ascii="仿宋" w:eastAsia="仿宋" w:hAnsi="仿宋" w:cs="Times New Roman"/>
          <w:sz w:val="24"/>
          <w:szCs w:val="24"/>
        </w:rPr>
        <w:t>差压力</w:t>
      </w:r>
      <w:proofErr w:type="gramEnd"/>
      <w:r>
        <w:rPr>
          <w:rFonts w:ascii="仿宋" w:eastAsia="仿宋" w:hAnsi="仿宋" w:cs="Times New Roman"/>
          <w:sz w:val="24"/>
          <w:szCs w:val="24"/>
        </w:rPr>
        <w:t>有所缓解</w:t>
      </w:r>
      <w:r w:rsidRPr="00C64582">
        <w:rPr>
          <w:rFonts w:ascii="仿宋" w:eastAsia="仿宋" w:hAnsi="仿宋" w:cs="Times New Roman"/>
          <w:sz w:val="24"/>
          <w:szCs w:val="24"/>
        </w:rPr>
        <w:t>、外部货币政策转向的确定性再高一点的时间点</w:t>
      </w:r>
      <w:r>
        <w:rPr>
          <w:rFonts w:ascii="仿宋" w:eastAsia="仿宋" w:hAnsi="仿宋" w:cs="Times New Roman"/>
          <w:sz w:val="24"/>
          <w:szCs w:val="24"/>
        </w:rPr>
        <w:t>；另外，近来高层持续发声，</w:t>
      </w:r>
      <w:proofErr w:type="gramStart"/>
      <w:r>
        <w:rPr>
          <w:rFonts w:ascii="仿宋" w:eastAsia="仿宋" w:hAnsi="仿宋" w:cs="Times New Roman"/>
          <w:sz w:val="24"/>
          <w:szCs w:val="24"/>
        </w:rPr>
        <w:t>除了维稳资本市场</w:t>
      </w:r>
      <w:proofErr w:type="gramEnd"/>
      <w:r>
        <w:rPr>
          <w:rFonts w:ascii="仿宋" w:eastAsia="仿宋" w:hAnsi="仿宋" w:cs="Times New Roman"/>
          <w:sz w:val="24"/>
          <w:szCs w:val="24"/>
        </w:rPr>
        <w:t>以外，稳地产也是重中之重，除了大力支持</w:t>
      </w:r>
      <w:proofErr w:type="gramStart"/>
      <w:r>
        <w:rPr>
          <w:rFonts w:ascii="仿宋" w:eastAsia="仿宋" w:hAnsi="仿宋" w:cs="Times New Roman"/>
          <w:sz w:val="24"/>
          <w:szCs w:val="24"/>
        </w:rPr>
        <w:t>房企合理</w:t>
      </w:r>
      <w:proofErr w:type="gramEnd"/>
      <w:r>
        <w:rPr>
          <w:rFonts w:ascii="仿宋" w:eastAsia="仿宋" w:hAnsi="仿宋" w:cs="Times New Roman"/>
          <w:sz w:val="24"/>
          <w:szCs w:val="24"/>
        </w:rPr>
        <w:t>融资需求以外，住建部全面松绑地方楼市政策调控，广州也立马跟进，可见已进入新</w:t>
      </w:r>
      <w:proofErr w:type="gramStart"/>
      <w:r>
        <w:rPr>
          <w:rFonts w:ascii="仿宋" w:eastAsia="仿宋" w:hAnsi="仿宋" w:cs="Times New Roman"/>
          <w:sz w:val="24"/>
          <w:szCs w:val="24"/>
        </w:rPr>
        <w:t>一轮稳增长</w:t>
      </w:r>
      <w:proofErr w:type="gramEnd"/>
      <w:r>
        <w:rPr>
          <w:rFonts w:ascii="仿宋" w:eastAsia="仿宋" w:hAnsi="仿宋" w:cs="Times New Roman"/>
          <w:sz w:val="24"/>
          <w:szCs w:val="24"/>
        </w:rPr>
        <w:t>政策密集期；</w:t>
      </w:r>
      <w:r>
        <w:rPr>
          <w:rFonts w:ascii="仿宋" w:eastAsia="仿宋" w:hAnsi="仿宋" w:cs="Times New Roman" w:hint="eastAsia"/>
          <w:sz w:val="24"/>
          <w:szCs w:val="24"/>
        </w:rPr>
        <w:t>后续需重点关注资金价格中枢变化、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稳增长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政策具体效果</w:t>
      </w:r>
      <w:r w:rsidRPr="00580EBE">
        <w:rPr>
          <w:rFonts w:ascii="仿宋" w:eastAsia="仿宋" w:hAnsi="仿宋" w:cs="Times New Roman"/>
          <w:sz w:val="24"/>
          <w:szCs w:val="24"/>
        </w:rPr>
        <w:t>。</w:t>
      </w:r>
      <w:r>
        <w:rPr>
          <w:rFonts w:ascii="仿宋" w:eastAsia="仿宋" w:hAnsi="仿宋" w:cs="Times New Roman" w:hint="eastAsia"/>
          <w:sz w:val="24"/>
          <w:szCs w:val="24"/>
        </w:rPr>
        <w:t>策略上，短期可以博弈曲线陡峭化交易机会，长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端如果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调整到一定位置，</w:t>
      </w:r>
      <w:r w:rsidRPr="00A01F54">
        <w:rPr>
          <w:rFonts w:ascii="仿宋" w:eastAsia="仿宋" w:hAnsi="仿宋" w:cs="Times New Roman" w:hint="eastAsia"/>
          <w:sz w:val="24"/>
          <w:szCs w:val="24"/>
        </w:rPr>
        <w:t>如1</w:t>
      </w:r>
      <w:r w:rsidRPr="00A01F54">
        <w:rPr>
          <w:rFonts w:ascii="仿宋" w:eastAsia="仿宋" w:hAnsi="仿宋" w:cs="Times New Roman"/>
          <w:sz w:val="24"/>
          <w:szCs w:val="24"/>
        </w:rPr>
        <w:t>0年</w:t>
      </w:r>
      <w:r w:rsidRPr="00A01F54">
        <w:rPr>
          <w:rFonts w:ascii="仿宋" w:eastAsia="仿宋" w:hAnsi="仿宋" w:cs="Times New Roman" w:hint="eastAsia"/>
          <w:sz w:val="24"/>
          <w:szCs w:val="24"/>
        </w:rPr>
        <w:t>到2</w:t>
      </w:r>
      <w:r w:rsidRPr="00A01F54">
        <w:rPr>
          <w:rFonts w:ascii="仿宋" w:eastAsia="仿宋" w:hAnsi="仿宋" w:cs="Times New Roman"/>
          <w:sz w:val="24"/>
          <w:szCs w:val="24"/>
        </w:rPr>
        <w:t>.55</w:t>
      </w:r>
      <w:r>
        <w:rPr>
          <w:rFonts w:ascii="仿宋" w:eastAsia="仿宋" w:hAnsi="仿宋" w:cs="Times New Roman"/>
          <w:sz w:val="24"/>
          <w:szCs w:val="24"/>
        </w:rPr>
        <w:t>%</w:t>
      </w:r>
      <w:r w:rsidRPr="00A01F54">
        <w:rPr>
          <w:rFonts w:ascii="仿宋" w:eastAsia="仿宋" w:hAnsi="仿宋" w:cs="Times New Roman"/>
          <w:sz w:val="24"/>
          <w:szCs w:val="24"/>
        </w:rPr>
        <w:t>-2.6%</w:t>
      </w:r>
      <w:r>
        <w:rPr>
          <w:rFonts w:ascii="仿宋" w:eastAsia="仿宋" w:hAnsi="仿宋" w:cs="Times New Roman"/>
          <w:sz w:val="24"/>
          <w:szCs w:val="24"/>
        </w:rPr>
        <w:t>区间，可</w:t>
      </w:r>
      <w:r w:rsidRPr="00A01F54">
        <w:rPr>
          <w:rFonts w:ascii="仿宋" w:eastAsia="仿宋" w:hAnsi="仿宋" w:cs="Times New Roman"/>
          <w:sz w:val="24"/>
          <w:szCs w:val="24"/>
        </w:rPr>
        <w:t>择机介入</w:t>
      </w:r>
      <w:r w:rsidR="00BD416E" w:rsidRPr="00BD416E">
        <w:rPr>
          <w:rFonts w:ascii="仿宋" w:eastAsia="仿宋" w:hAnsi="仿宋" w:cs="Times New Roman" w:hint="eastAsia"/>
          <w:sz w:val="24"/>
          <w:szCs w:val="24"/>
        </w:rPr>
        <w:t>。</w:t>
      </w:r>
    </w:p>
    <w:p w14:paraId="37D002CF" w14:textId="77777777" w:rsidR="000E0B07" w:rsidRDefault="000E0B07" w:rsidP="00745FA4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14:paraId="51F6B733" w14:textId="77777777" w:rsidR="000E0B07" w:rsidRPr="00D107FD" w:rsidRDefault="000E0B07" w:rsidP="000E0B07">
      <w:pPr>
        <w:spacing w:line="360" w:lineRule="auto"/>
        <w:ind w:firstLineChars="200" w:firstLine="420"/>
        <w:rPr>
          <w:rFonts w:ascii="仿宋" w:eastAsia="仿宋" w:hAnsi="仿宋"/>
          <w:b/>
          <w:sz w:val="24"/>
          <w:szCs w:val="24"/>
        </w:rPr>
      </w:pPr>
      <w:r>
        <w:t>风险提示：本报告中的信息均来源于已公开的资料，我公司对这些信息的准确性及完整</w:t>
      </w:r>
      <w:r>
        <w:t xml:space="preserve"> </w:t>
      </w:r>
      <w:r>
        <w:t>性不作任何保证。</w:t>
      </w:r>
      <w:r>
        <w:t xml:space="preserve"> </w:t>
      </w:r>
      <w:r>
        <w:t>在任何情况下，报告中的信息或所表达的意见并不构成证券买卖的出价或询价。在任何</w:t>
      </w:r>
      <w:r>
        <w:t xml:space="preserve"> </w:t>
      </w:r>
      <w:r>
        <w:t>情况下，我公司不就报告中的任何投资做出任何形式的担保。本报告内容和意见不构成投资</w:t>
      </w:r>
      <w:r>
        <w:t xml:space="preserve"> </w:t>
      </w:r>
      <w:r>
        <w:t>建议，仅供参考，使用前务请核实，风险自负。</w:t>
      </w:r>
      <w:r>
        <w:t xml:space="preserve"> </w:t>
      </w:r>
      <w:r>
        <w:t>本报告版权归</w:t>
      </w:r>
      <w:proofErr w:type="gramStart"/>
      <w:r>
        <w:t>鑫元基金</w:t>
      </w:r>
      <w:proofErr w:type="gramEnd"/>
      <w:r>
        <w:t>管理有限公司所有，未获得</w:t>
      </w:r>
      <w:proofErr w:type="gramStart"/>
      <w:r>
        <w:t>鑫元基金</w:t>
      </w:r>
      <w:proofErr w:type="gramEnd"/>
      <w:r>
        <w:t>管理有限公司事先书面授权，</w:t>
      </w:r>
      <w:r>
        <w:t xml:space="preserve"> </w:t>
      </w:r>
      <w:r>
        <w:t>任何人不得对本报告进行任何形式的发布、复制。</w:t>
      </w:r>
    </w:p>
    <w:p w14:paraId="5C5A4388" w14:textId="77777777" w:rsidR="000E0B07" w:rsidRPr="000E0B07" w:rsidRDefault="000E0B07" w:rsidP="00745FA4">
      <w:pPr>
        <w:spacing w:line="360" w:lineRule="auto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</w:p>
    <w:sectPr w:rsidR="000E0B07" w:rsidRPr="000E0B07" w:rsidSect="002649C1">
      <w:headerReference w:type="default" r:id="rId25"/>
      <w:footerReference w:type="default" r:id="rId26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01E2" w14:textId="77777777" w:rsidR="002649C1" w:rsidRDefault="002649C1">
      <w:r>
        <w:separator/>
      </w:r>
    </w:p>
  </w:endnote>
  <w:endnote w:type="continuationSeparator" w:id="0">
    <w:p w14:paraId="7519336D" w14:textId="77777777" w:rsidR="002649C1" w:rsidRDefault="0026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</w:rPr>
      <w:id w:val="40338942"/>
      <w:docPartObj>
        <w:docPartGallery w:val="Page Numbers (Bottom of Page)"/>
        <w:docPartUnique/>
      </w:docPartObj>
    </w:sdtPr>
    <w:sdtContent>
      <w:p w14:paraId="5D7AF917" w14:textId="21A09008" w:rsidR="0077391D" w:rsidRPr="0077391D" w:rsidRDefault="0077391D">
        <w:pPr>
          <w:pStyle w:val="a7"/>
          <w:jc w:val="center"/>
          <w:rPr>
            <w:rFonts w:asciiTheme="majorEastAsia" w:eastAsiaTheme="majorEastAsia" w:hAnsiTheme="majorEastAsia"/>
          </w:rPr>
        </w:pPr>
        <w:r w:rsidRPr="0077391D">
          <w:rPr>
            <w:rFonts w:asciiTheme="majorEastAsia" w:eastAsiaTheme="majorEastAsia" w:hAnsiTheme="majorEastAsia"/>
          </w:rPr>
          <w:fldChar w:fldCharType="begin"/>
        </w:r>
        <w:r w:rsidRPr="0077391D">
          <w:rPr>
            <w:rFonts w:asciiTheme="majorEastAsia" w:eastAsiaTheme="majorEastAsia" w:hAnsiTheme="majorEastAsia"/>
          </w:rPr>
          <w:instrText>PAGE   \* MERGEFORMAT</w:instrText>
        </w:r>
        <w:r w:rsidRPr="0077391D">
          <w:rPr>
            <w:rFonts w:asciiTheme="majorEastAsia" w:eastAsiaTheme="majorEastAsia" w:hAnsiTheme="majorEastAsia"/>
          </w:rPr>
          <w:fldChar w:fldCharType="separate"/>
        </w:r>
        <w:r w:rsidRPr="0077391D">
          <w:rPr>
            <w:rFonts w:asciiTheme="majorEastAsia" w:eastAsiaTheme="majorEastAsia" w:hAnsiTheme="majorEastAsia"/>
            <w:lang w:val="zh-CN"/>
          </w:rPr>
          <w:t>2</w:t>
        </w:r>
        <w:r w:rsidRPr="0077391D">
          <w:rPr>
            <w:rFonts w:asciiTheme="majorEastAsia" w:eastAsiaTheme="majorEastAsia" w:hAnsiTheme="majorEastAsia"/>
          </w:rPr>
          <w:fldChar w:fldCharType="end"/>
        </w:r>
      </w:p>
    </w:sdtContent>
  </w:sdt>
  <w:p w14:paraId="6BB3933A" w14:textId="77777777" w:rsidR="00383A48" w:rsidRPr="0077391D" w:rsidRDefault="00383A48">
    <w:pPr>
      <w:pStyle w:val="a7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F780" w14:textId="77777777" w:rsidR="002649C1" w:rsidRDefault="002649C1">
      <w:r>
        <w:separator/>
      </w:r>
    </w:p>
  </w:footnote>
  <w:footnote w:type="continuationSeparator" w:id="0">
    <w:p w14:paraId="7192499C" w14:textId="77777777" w:rsidR="002649C1" w:rsidRDefault="0026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02D8" w14:textId="77777777" w:rsidR="007D660F" w:rsidRDefault="007D660F" w:rsidP="000B1D74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7788"/>
    <w:multiLevelType w:val="hybridMultilevel"/>
    <w:tmpl w:val="E14A8BFA"/>
    <w:lvl w:ilvl="0" w:tplc="ACEECDC6">
      <w:start w:val="1"/>
      <w:numFmt w:val="japaneseCounting"/>
      <w:lvlText w:val="（%1）"/>
      <w:lvlJc w:val="left"/>
      <w:pPr>
        <w:ind w:left="1238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 w16cid:durableId="155962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  <w:docVar w:name="commondata" w:val="eyJoZGlkIjoiYzZkNzQ4ZWFiZmQ4NTRhOWRkZTk3YTMwMjlmMmZhYmUifQ=="/>
  </w:docVars>
  <w:rsids>
    <w:rsidRoot w:val="004B1AAF"/>
    <w:rsid w:val="00005482"/>
    <w:rsid w:val="0000682F"/>
    <w:rsid w:val="00007768"/>
    <w:rsid w:val="00010544"/>
    <w:rsid w:val="00021A3E"/>
    <w:rsid w:val="0002406C"/>
    <w:rsid w:val="00025EE2"/>
    <w:rsid w:val="000278E4"/>
    <w:rsid w:val="00031932"/>
    <w:rsid w:val="00031E89"/>
    <w:rsid w:val="00033720"/>
    <w:rsid w:val="0003482D"/>
    <w:rsid w:val="00034B3F"/>
    <w:rsid w:val="00042E02"/>
    <w:rsid w:val="000434CF"/>
    <w:rsid w:val="00051C7E"/>
    <w:rsid w:val="00055496"/>
    <w:rsid w:val="000554BD"/>
    <w:rsid w:val="00057C2E"/>
    <w:rsid w:val="0006270E"/>
    <w:rsid w:val="000645DD"/>
    <w:rsid w:val="00067316"/>
    <w:rsid w:val="00067490"/>
    <w:rsid w:val="00070F28"/>
    <w:rsid w:val="000721B7"/>
    <w:rsid w:val="00073622"/>
    <w:rsid w:val="00074607"/>
    <w:rsid w:val="0007705C"/>
    <w:rsid w:val="00077242"/>
    <w:rsid w:val="0008109D"/>
    <w:rsid w:val="000828EF"/>
    <w:rsid w:val="00085F57"/>
    <w:rsid w:val="00086CF3"/>
    <w:rsid w:val="000930B3"/>
    <w:rsid w:val="000944AB"/>
    <w:rsid w:val="00095BB1"/>
    <w:rsid w:val="00097847"/>
    <w:rsid w:val="000A0712"/>
    <w:rsid w:val="000A080A"/>
    <w:rsid w:val="000A2774"/>
    <w:rsid w:val="000A6AE4"/>
    <w:rsid w:val="000A6DA9"/>
    <w:rsid w:val="000B1D74"/>
    <w:rsid w:val="000B1DE4"/>
    <w:rsid w:val="000B6254"/>
    <w:rsid w:val="000B640F"/>
    <w:rsid w:val="000C0D5E"/>
    <w:rsid w:val="000C22C6"/>
    <w:rsid w:val="000C6EA6"/>
    <w:rsid w:val="000D20EF"/>
    <w:rsid w:val="000D3FDD"/>
    <w:rsid w:val="000E0B07"/>
    <w:rsid w:val="000E0F9B"/>
    <w:rsid w:val="000E2F27"/>
    <w:rsid w:val="000E50AB"/>
    <w:rsid w:val="000F0AB1"/>
    <w:rsid w:val="000F0AD9"/>
    <w:rsid w:val="000F783F"/>
    <w:rsid w:val="000F790A"/>
    <w:rsid w:val="000F7CCC"/>
    <w:rsid w:val="00101ABB"/>
    <w:rsid w:val="00105CFF"/>
    <w:rsid w:val="001072F2"/>
    <w:rsid w:val="00107A1E"/>
    <w:rsid w:val="00107B5E"/>
    <w:rsid w:val="00107E87"/>
    <w:rsid w:val="001114BF"/>
    <w:rsid w:val="00111DC3"/>
    <w:rsid w:val="00113F13"/>
    <w:rsid w:val="00124266"/>
    <w:rsid w:val="001302D1"/>
    <w:rsid w:val="001344FB"/>
    <w:rsid w:val="00135084"/>
    <w:rsid w:val="00143AD0"/>
    <w:rsid w:val="001466CF"/>
    <w:rsid w:val="00155300"/>
    <w:rsid w:val="001558C6"/>
    <w:rsid w:val="00160B8B"/>
    <w:rsid w:val="00163772"/>
    <w:rsid w:val="00163C34"/>
    <w:rsid w:val="00164806"/>
    <w:rsid w:val="00165A60"/>
    <w:rsid w:val="00167AD8"/>
    <w:rsid w:val="00167CF4"/>
    <w:rsid w:val="00171571"/>
    <w:rsid w:val="00172F18"/>
    <w:rsid w:val="00173A8D"/>
    <w:rsid w:val="00174630"/>
    <w:rsid w:val="00176ABA"/>
    <w:rsid w:val="00177093"/>
    <w:rsid w:val="001770FC"/>
    <w:rsid w:val="00177C27"/>
    <w:rsid w:val="00182154"/>
    <w:rsid w:val="00182D9E"/>
    <w:rsid w:val="00186888"/>
    <w:rsid w:val="001910FA"/>
    <w:rsid w:val="00192A42"/>
    <w:rsid w:val="00193922"/>
    <w:rsid w:val="00193A43"/>
    <w:rsid w:val="00193D47"/>
    <w:rsid w:val="00193FAB"/>
    <w:rsid w:val="001A528A"/>
    <w:rsid w:val="001A5B5D"/>
    <w:rsid w:val="001B3E42"/>
    <w:rsid w:val="001B5FDB"/>
    <w:rsid w:val="001B641F"/>
    <w:rsid w:val="001C17E0"/>
    <w:rsid w:val="001C42C9"/>
    <w:rsid w:val="001C5ED4"/>
    <w:rsid w:val="001C6BA3"/>
    <w:rsid w:val="001C6DF5"/>
    <w:rsid w:val="001C7C88"/>
    <w:rsid w:val="001D25FB"/>
    <w:rsid w:val="001D28F7"/>
    <w:rsid w:val="001D2DF8"/>
    <w:rsid w:val="001D41F8"/>
    <w:rsid w:val="001D69AF"/>
    <w:rsid w:val="001E2212"/>
    <w:rsid w:val="001E4170"/>
    <w:rsid w:val="001E41D4"/>
    <w:rsid w:val="001F0EBD"/>
    <w:rsid w:val="001F18B8"/>
    <w:rsid w:val="001F1BAA"/>
    <w:rsid w:val="001F2C02"/>
    <w:rsid w:val="00201CA4"/>
    <w:rsid w:val="002045D2"/>
    <w:rsid w:val="00210718"/>
    <w:rsid w:val="00212BDD"/>
    <w:rsid w:val="00220B5E"/>
    <w:rsid w:val="002213DC"/>
    <w:rsid w:val="002215C1"/>
    <w:rsid w:val="00222626"/>
    <w:rsid w:val="00223904"/>
    <w:rsid w:val="0022428F"/>
    <w:rsid w:val="00226F4B"/>
    <w:rsid w:val="00227EC5"/>
    <w:rsid w:val="002306F5"/>
    <w:rsid w:val="002328E6"/>
    <w:rsid w:val="00233006"/>
    <w:rsid w:val="00236EDE"/>
    <w:rsid w:val="00250645"/>
    <w:rsid w:val="00251E05"/>
    <w:rsid w:val="0025225A"/>
    <w:rsid w:val="002522B2"/>
    <w:rsid w:val="00253F1A"/>
    <w:rsid w:val="002553DF"/>
    <w:rsid w:val="00255511"/>
    <w:rsid w:val="00256CCF"/>
    <w:rsid w:val="002577F3"/>
    <w:rsid w:val="00263CAE"/>
    <w:rsid w:val="002649C1"/>
    <w:rsid w:val="002664B1"/>
    <w:rsid w:val="00266752"/>
    <w:rsid w:val="0027644D"/>
    <w:rsid w:val="002807C9"/>
    <w:rsid w:val="002931EB"/>
    <w:rsid w:val="00295835"/>
    <w:rsid w:val="00295F7F"/>
    <w:rsid w:val="00297205"/>
    <w:rsid w:val="00297681"/>
    <w:rsid w:val="002A02D9"/>
    <w:rsid w:val="002A22EC"/>
    <w:rsid w:val="002B1FE2"/>
    <w:rsid w:val="002B21E1"/>
    <w:rsid w:val="002B7C45"/>
    <w:rsid w:val="002C235E"/>
    <w:rsid w:val="002C2A29"/>
    <w:rsid w:val="002C7BC9"/>
    <w:rsid w:val="002C7C08"/>
    <w:rsid w:val="002C7E0F"/>
    <w:rsid w:val="002D04A6"/>
    <w:rsid w:val="002D0E68"/>
    <w:rsid w:val="002D5F32"/>
    <w:rsid w:val="002D60F4"/>
    <w:rsid w:val="002E052D"/>
    <w:rsid w:val="002E3FE3"/>
    <w:rsid w:val="002E66CA"/>
    <w:rsid w:val="002F1232"/>
    <w:rsid w:val="002F1EF4"/>
    <w:rsid w:val="00302D4D"/>
    <w:rsid w:val="0030429E"/>
    <w:rsid w:val="00304A0F"/>
    <w:rsid w:val="00305A4B"/>
    <w:rsid w:val="00310E5E"/>
    <w:rsid w:val="00314AA4"/>
    <w:rsid w:val="003151B5"/>
    <w:rsid w:val="003212D4"/>
    <w:rsid w:val="00323DE1"/>
    <w:rsid w:val="003277EE"/>
    <w:rsid w:val="00327C3D"/>
    <w:rsid w:val="0033449E"/>
    <w:rsid w:val="00336415"/>
    <w:rsid w:val="00337441"/>
    <w:rsid w:val="00341BF7"/>
    <w:rsid w:val="00345231"/>
    <w:rsid w:val="00345289"/>
    <w:rsid w:val="00346930"/>
    <w:rsid w:val="0034709E"/>
    <w:rsid w:val="00350A2B"/>
    <w:rsid w:val="00350CCA"/>
    <w:rsid w:val="00350DB2"/>
    <w:rsid w:val="00350FCA"/>
    <w:rsid w:val="00351BF1"/>
    <w:rsid w:val="00354C6B"/>
    <w:rsid w:val="0035689E"/>
    <w:rsid w:val="003575E9"/>
    <w:rsid w:val="003660C6"/>
    <w:rsid w:val="0036768F"/>
    <w:rsid w:val="003712CF"/>
    <w:rsid w:val="003761B7"/>
    <w:rsid w:val="0037743E"/>
    <w:rsid w:val="0037761C"/>
    <w:rsid w:val="003806FA"/>
    <w:rsid w:val="00381207"/>
    <w:rsid w:val="00383A48"/>
    <w:rsid w:val="003852DC"/>
    <w:rsid w:val="00387449"/>
    <w:rsid w:val="00390144"/>
    <w:rsid w:val="00391DD7"/>
    <w:rsid w:val="00394D71"/>
    <w:rsid w:val="003969BB"/>
    <w:rsid w:val="003A0D60"/>
    <w:rsid w:val="003A342C"/>
    <w:rsid w:val="003B0200"/>
    <w:rsid w:val="003B0B83"/>
    <w:rsid w:val="003B2ADB"/>
    <w:rsid w:val="003B419A"/>
    <w:rsid w:val="003C5134"/>
    <w:rsid w:val="003C7A25"/>
    <w:rsid w:val="003D18A5"/>
    <w:rsid w:val="003D18DB"/>
    <w:rsid w:val="003D6FFB"/>
    <w:rsid w:val="003E4163"/>
    <w:rsid w:val="003E5259"/>
    <w:rsid w:val="003F4ED6"/>
    <w:rsid w:val="003F56B6"/>
    <w:rsid w:val="004070B9"/>
    <w:rsid w:val="00410CA9"/>
    <w:rsid w:val="00411785"/>
    <w:rsid w:val="0041198F"/>
    <w:rsid w:val="00414E51"/>
    <w:rsid w:val="00415B94"/>
    <w:rsid w:val="00420B92"/>
    <w:rsid w:val="00424F45"/>
    <w:rsid w:val="00425ECD"/>
    <w:rsid w:val="0043034E"/>
    <w:rsid w:val="00430376"/>
    <w:rsid w:val="004310FB"/>
    <w:rsid w:val="00431826"/>
    <w:rsid w:val="00432E39"/>
    <w:rsid w:val="004337D5"/>
    <w:rsid w:val="004353DF"/>
    <w:rsid w:val="0043751A"/>
    <w:rsid w:val="004425E6"/>
    <w:rsid w:val="00450B40"/>
    <w:rsid w:val="0045160B"/>
    <w:rsid w:val="00451739"/>
    <w:rsid w:val="00452B63"/>
    <w:rsid w:val="00457894"/>
    <w:rsid w:val="00460190"/>
    <w:rsid w:val="00460F86"/>
    <w:rsid w:val="00463BD7"/>
    <w:rsid w:val="0046513D"/>
    <w:rsid w:val="00465C96"/>
    <w:rsid w:val="004715FB"/>
    <w:rsid w:val="004743CD"/>
    <w:rsid w:val="00474855"/>
    <w:rsid w:val="00477E2D"/>
    <w:rsid w:val="00477F08"/>
    <w:rsid w:val="004820FE"/>
    <w:rsid w:val="00482F00"/>
    <w:rsid w:val="0048366F"/>
    <w:rsid w:val="0048492C"/>
    <w:rsid w:val="00484CA4"/>
    <w:rsid w:val="00487B01"/>
    <w:rsid w:val="0049598F"/>
    <w:rsid w:val="00495BDF"/>
    <w:rsid w:val="00497575"/>
    <w:rsid w:val="004A0637"/>
    <w:rsid w:val="004A06E2"/>
    <w:rsid w:val="004A0EF5"/>
    <w:rsid w:val="004A38F4"/>
    <w:rsid w:val="004A5BD9"/>
    <w:rsid w:val="004B090C"/>
    <w:rsid w:val="004B0D08"/>
    <w:rsid w:val="004B1AAF"/>
    <w:rsid w:val="004B2E4C"/>
    <w:rsid w:val="004B5B87"/>
    <w:rsid w:val="004B5D02"/>
    <w:rsid w:val="004B73AC"/>
    <w:rsid w:val="004B77F3"/>
    <w:rsid w:val="004C0462"/>
    <w:rsid w:val="004C2B05"/>
    <w:rsid w:val="004C3B8A"/>
    <w:rsid w:val="004C4171"/>
    <w:rsid w:val="004C6EFE"/>
    <w:rsid w:val="004D3C79"/>
    <w:rsid w:val="004D4537"/>
    <w:rsid w:val="004D45D5"/>
    <w:rsid w:val="004D4721"/>
    <w:rsid w:val="004D6270"/>
    <w:rsid w:val="004E008A"/>
    <w:rsid w:val="004E32F4"/>
    <w:rsid w:val="004E3DD4"/>
    <w:rsid w:val="004E72A3"/>
    <w:rsid w:val="004F0525"/>
    <w:rsid w:val="004F0924"/>
    <w:rsid w:val="004F09EC"/>
    <w:rsid w:val="004F15D9"/>
    <w:rsid w:val="004F3398"/>
    <w:rsid w:val="004F40E4"/>
    <w:rsid w:val="004F4CF6"/>
    <w:rsid w:val="00501106"/>
    <w:rsid w:val="0050374E"/>
    <w:rsid w:val="0050779A"/>
    <w:rsid w:val="00507989"/>
    <w:rsid w:val="00507CCD"/>
    <w:rsid w:val="00510388"/>
    <w:rsid w:val="00512118"/>
    <w:rsid w:val="005139B8"/>
    <w:rsid w:val="00513B09"/>
    <w:rsid w:val="00515BDE"/>
    <w:rsid w:val="00516037"/>
    <w:rsid w:val="00522AD0"/>
    <w:rsid w:val="00525C8C"/>
    <w:rsid w:val="00526C7F"/>
    <w:rsid w:val="00530B7B"/>
    <w:rsid w:val="0053187D"/>
    <w:rsid w:val="0053560F"/>
    <w:rsid w:val="00536785"/>
    <w:rsid w:val="00536A73"/>
    <w:rsid w:val="00536F14"/>
    <w:rsid w:val="00541BAF"/>
    <w:rsid w:val="00542257"/>
    <w:rsid w:val="00542397"/>
    <w:rsid w:val="005434CB"/>
    <w:rsid w:val="005448C0"/>
    <w:rsid w:val="005566D5"/>
    <w:rsid w:val="00563D96"/>
    <w:rsid w:val="005660B3"/>
    <w:rsid w:val="0057132B"/>
    <w:rsid w:val="00572D62"/>
    <w:rsid w:val="005756D3"/>
    <w:rsid w:val="00575849"/>
    <w:rsid w:val="005772AB"/>
    <w:rsid w:val="0058238E"/>
    <w:rsid w:val="00584450"/>
    <w:rsid w:val="00587AB6"/>
    <w:rsid w:val="00593233"/>
    <w:rsid w:val="005949CE"/>
    <w:rsid w:val="00595E96"/>
    <w:rsid w:val="00597592"/>
    <w:rsid w:val="00597A08"/>
    <w:rsid w:val="005A095A"/>
    <w:rsid w:val="005A0D30"/>
    <w:rsid w:val="005A31D5"/>
    <w:rsid w:val="005A66F5"/>
    <w:rsid w:val="005B06D7"/>
    <w:rsid w:val="005B2939"/>
    <w:rsid w:val="005B633F"/>
    <w:rsid w:val="005B7860"/>
    <w:rsid w:val="005D38BC"/>
    <w:rsid w:val="005D7EA8"/>
    <w:rsid w:val="005E263F"/>
    <w:rsid w:val="005E2E11"/>
    <w:rsid w:val="005E3588"/>
    <w:rsid w:val="005E3994"/>
    <w:rsid w:val="005E6A96"/>
    <w:rsid w:val="005F4044"/>
    <w:rsid w:val="005F61AB"/>
    <w:rsid w:val="006062F4"/>
    <w:rsid w:val="00607924"/>
    <w:rsid w:val="006115AB"/>
    <w:rsid w:val="00611F33"/>
    <w:rsid w:val="00613C1E"/>
    <w:rsid w:val="00614CEC"/>
    <w:rsid w:val="00616CA4"/>
    <w:rsid w:val="00617A7D"/>
    <w:rsid w:val="00620C89"/>
    <w:rsid w:val="00621942"/>
    <w:rsid w:val="00622DB0"/>
    <w:rsid w:val="00627EBC"/>
    <w:rsid w:val="006331E1"/>
    <w:rsid w:val="00633468"/>
    <w:rsid w:val="00633BFF"/>
    <w:rsid w:val="00635C17"/>
    <w:rsid w:val="00636505"/>
    <w:rsid w:val="00636FFD"/>
    <w:rsid w:val="006371A0"/>
    <w:rsid w:val="00641ACE"/>
    <w:rsid w:val="00643F43"/>
    <w:rsid w:val="00653324"/>
    <w:rsid w:val="00655998"/>
    <w:rsid w:val="0065726C"/>
    <w:rsid w:val="006620A5"/>
    <w:rsid w:val="00662B95"/>
    <w:rsid w:val="006701E6"/>
    <w:rsid w:val="006708AF"/>
    <w:rsid w:val="00672728"/>
    <w:rsid w:val="00673B4C"/>
    <w:rsid w:val="0067779D"/>
    <w:rsid w:val="006824E0"/>
    <w:rsid w:val="006847E5"/>
    <w:rsid w:val="0068495A"/>
    <w:rsid w:val="006849A4"/>
    <w:rsid w:val="006852EE"/>
    <w:rsid w:val="00685A8F"/>
    <w:rsid w:val="00686168"/>
    <w:rsid w:val="006862B0"/>
    <w:rsid w:val="00686DF7"/>
    <w:rsid w:val="006907FB"/>
    <w:rsid w:val="00696773"/>
    <w:rsid w:val="0069729E"/>
    <w:rsid w:val="00697C60"/>
    <w:rsid w:val="00697D3D"/>
    <w:rsid w:val="006A4B2D"/>
    <w:rsid w:val="006A5D4F"/>
    <w:rsid w:val="006B0373"/>
    <w:rsid w:val="006B0676"/>
    <w:rsid w:val="006B5638"/>
    <w:rsid w:val="006B5CB4"/>
    <w:rsid w:val="006B7426"/>
    <w:rsid w:val="006C0907"/>
    <w:rsid w:val="006C1B95"/>
    <w:rsid w:val="006C1F84"/>
    <w:rsid w:val="006C3F6C"/>
    <w:rsid w:val="006C447D"/>
    <w:rsid w:val="006C6716"/>
    <w:rsid w:val="006C6863"/>
    <w:rsid w:val="006D6A18"/>
    <w:rsid w:val="006D7DD3"/>
    <w:rsid w:val="006E1304"/>
    <w:rsid w:val="006E2B72"/>
    <w:rsid w:val="006E51FA"/>
    <w:rsid w:val="006E5BC3"/>
    <w:rsid w:val="006F402A"/>
    <w:rsid w:val="006F45F5"/>
    <w:rsid w:val="006F61F1"/>
    <w:rsid w:val="006F6FDF"/>
    <w:rsid w:val="007001BF"/>
    <w:rsid w:val="00700773"/>
    <w:rsid w:val="00703527"/>
    <w:rsid w:val="00714887"/>
    <w:rsid w:val="00721511"/>
    <w:rsid w:val="00723271"/>
    <w:rsid w:val="007260F8"/>
    <w:rsid w:val="0072610A"/>
    <w:rsid w:val="007306E7"/>
    <w:rsid w:val="00732E65"/>
    <w:rsid w:val="007368BB"/>
    <w:rsid w:val="00736B6E"/>
    <w:rsid w:val="00737BCF"/>
    <w:rsid w:val="00740F5D"/>
    <w:rsid w:val="00742D47"/>
    <w:rsid w:val="007435C2"/>
    <w:rsid w:val="007456B0"/>
    <w:rsid w:val="00745FA4"/>
    <w:rsid w:val="00753863"/>
    <w:rsid w:val="00756BD4"/>
    <w:rsid w:val="00757E03"/>
    <w:rsid w:val="007604DC"/>
    <w:rsid w:val="007619C9"/>
    <w:rsid w:val="00762181"/>
    <w:rsid w:val="007640AB"/>
    <w:rsid w:val="007652CC"/>
    <w:rsid w:val="00766BBC"/>
    <w:rsid w:val="00767D1D"/>
    <w:rsid w:val="0077391D"/>
    <w:rsid w:val="00774C6A"/>
    <w:rsid w:val="00777124"/>
    <w:rsid w:val="00780C0C"/>
    <w:rsid w:val="007829C1"/>
    <w:rsid w:val="00793EC0"/>
    <w:rsid w:val="00794E5F"/>
    <w:rsid w:val="007974F4"/>
    <w:rsid w:val="00797A46"/>
    <w:rsid w:val="007A04F9"/>
    <w:rsid w:val="007A20BA"/>
    <w:rsid w:val="007A6A2C"/>
    <w:rsid w:val="007A70D0"/>
    <w:rsid w:val="007A7796"/>
    <w:rsid w:val="007A7A3C"/>
    <w:rsid w:val="007B1180"/>
    <w:rsid w:val="007C3D19"/>
    <w:rsid w:val="007C45EA"/>
    <w:rsid w:val="007C4F2D"/>
    <w:rsid w:val="007D0CEA"/>
    <w:rsid w:val="007D2CC3"/>
    <w:rsid w:val="007D4925"/>
    <w:rsid w:val="007D660F"/>
    <w:rsid w:val="007E10F1"/>
    <w:rsid w:val="007E3C7C"/>
    <w:rsid w:val="007F6142"/>
    <w:rsid w:val="00800E0E"/>
    <w:rsid w:val="00800F6C"/>
    <w:rsid w:val="00801046"/>
    <w:rsid w:val="008026CD"/>
    <w:rsid w:val="008057FE"/>
    <w:rsid w:val="00805D16"/>
    <w:rsid w:val="00814215"/>
    <w:rsid w:val="00814DB3"/>
    <w:rsid w:val="00814F80"/>
    <w:rsid w:val="008155F3"/>
    <w:rsid w:val="008162D3"/>
    <w:rsid w:val="00817E7D"/>
    <w:rsid w:val="00821A3D"/>
    <w:rsid w:val="008235D1"/>
    <w:rsid w:val="00823892"/>
    <w:rsid w:val="00832A85"/>
    <w:rsid w:val="008334AF"/>
    <w:rsid w:val="00833F4A"/>
    <w:rsid w:val="00835AAC"/>
    <w:rsid w:val="0083640E"/>
    <w:rsid w:val="00837842"/>
    <w:rsid w:val="00841821"/>
    <w:rsid w:val="00842AF9"/>
    <w:rsid w:val="00845A0E"/>
    <w:rsid w:val="00847CCA"/>
    <w:rsid w:val="00855465"/>
    <w:rsid w:val="008604DE"/>
    <w:rsid w:val="0086388F"/>
    <w:rsid w:val="00866656"/>
    <w:rsid w:val="00866FA5"/>
    <w:rsid w:val="00867D0B"/>
    <w:rsid w:val="00872757"/>
    <w:rsid w:val="00872A79"/>
    <w:rsid w:val="00874869"/>
    <w:rsid w:val="008755CD"/>
    <w:rsid w:val="008766A9"/>
    <w:rsid w:val="00876FE3"/>
    <w:rsid w:val="0088074C"/>
    <w:rsid w:val="008817D3"/>
    <w:rsid w:val="00890C76"/>
    <w:rsid w:val="0089668F"/>
    <w:rsid w:val="008B2214"/>
    <w:rsid w:val="008B391B"/>
    <w:rsid w:val="008B4A21"/>
    <w:rsid w:val="008C1633"/>
    <w:rsid w:val="008C1986"/>
    <w:rsid w:val="008C202C"/>
    <w:rsid w:val="008C4643"/>
    <w:rsid w:val="008D469F"/>
    <w:rsid w:val="008D5FAA"/>
    <w:rsid w:val="008E1B7F"/>
    <w:rsid w:val="008E438B"/>
    <w:rsid w:val="008E4FFA"/>
    <w:rsid w:val="008E6302"/>
    <w:rsid w:val="008E6B5B"/>
    <w:rsid w:val="008E7FE7"/>
    <w:rsid w:val="008F3B06"/>
    <w:rsid w:val="008F4BA6"/>
    <w:rsid w:val="008F4C3D"/>
    <w:rsid w:val="008F4D73"/>
    <w:rsid w:val="008F4E07"/>
    <w:rsid w:val="008F66CB"/>
    <w:rsid w:val="008F75FD"/>
    <w:rsid w:val="00901816"/>
    <w:rsid w:val="00903BBC"/>
    <w:rsid w:val="0090422D"/>
    <w:rsid w:val="00905FDE"/>
    <w:rsid w:val="00906591"/>
    <w:rsid w:val="00906B85"/>
    <w:rsid w:val="00906DBF"/>
    <w:rsid w:val="009115FD"/>
    <w:rsid w:val="00913F9E"/>
    <w:rsid w:val="0091453E"/>
    <w:rsid w:val="009173EF"/>
    <w:rsid w:val="009210A8"/>
    <w:rsid w:val="0092149F"/>
    <w:rsid w:val="0092462A"/>
    <w:rsid w:val="0092490D"/>
    <w:rsid w:val="0092541D"/>
    <w:rsid w:val="00927ACF"/>
    <w:rsid w:val="00930FAF"/>
    <w:rsid w:val="00931A8E"/>
    <w:rsid w:val="00931FDC"/>
    <w:rsid w:val="00932D82"/>
    <w:rsid w:val="0093387A"/>
    <w:rsid w:val="00935AC4"/>
    <w:rsid w:val="009362E6"/>
    <w:rsid w:val="00936D96"/>
    <w:rsid w:val="0094608A"/>
    <w:rsid w:val="00946E08"/>
    <w:rsid w:val="009478F8"/>
    <w:rsid w:val="00947F30"/>
    <w:rsid w:val="009520E7"/>
    <w:rsid w:val="00954085"/>
    <w:rsid w:val="00954CF4"/>
    <w:rsid w:val="00961B03"/>
    <w:rsid w:val="009637FC"/>
    <w:rsid w:val="00965DD0"/>
    <w:rsid w:val="00966A74"/>
    <w:rsid w:val="009674E1"/>
    <w:rsid w:val="00977DEB"/>
    <w:rsid w:val="0098056B"/>
    <w:rsid w:val="009828A2"/>
    <w:rsid w:val="00982F8A"/>
    <w:rsid w:val="00984CB6"/>
    <w:rsid w:val="00986095"/>
    <w:rsid w:val="009873D7"/>
    <w:rsid w:val="00991897"/>
    <w:rsid w:val="00993830"/>
    <w:rsid w:val="00993C83"/>
    <w:rsid w:val="00993DF8"/>
    <w:rsid w:val="0099444A"/>
    <w:rsid w:val="009A136A"/>
    <w:rsid w:val="009A1B12"/>
    <w:rsid w:val="009A24EF"/>
    <w:rsid w:val="009A279C"/>
    <w:rsid w:val="009A2CA8"/>
    <w:rsid w:val="009A4BC6"/>
    <w:rsid w:val="009A501E"/>
    <w:rsid w:val="009A508E"/>
    <w:rsid w:val="009A66E5"/>
    <w:rsid w:val="009A6BB3"/>
    <w:rsid w:val="009A77B8"/>
    <w:rsid w:val="009B00FF"/>
    <w:rsid w:val="009B01CB"/>
    <w:rsid w:val="009B0A64"/>
    <w:rsid w:val="009B18B7"/>
    <w:rsid w:val="009B18BE"/>
    <w:rsid w:val="009B2466"/>
    <w:rsid w:val="009C0A1E"/>
    <w:rsid w:val="009C0B21"/>
    <w:rsid w:val="009C1233"/>
    <w:rsid w:val="009C2818"/>
    <w:rsid w:val="009C2B03"/>
    <w:rsid w:val="009C3B2E"/>
    <w:rsid w:val="009C5259"/>
    <w:rsid w:val="009C56A3"/>
    <w:rsid w:val="009C79C5"/>
    <w:rsid w:val="009D2285"/>
    <w:rsid w:val="009D44B9"/>
    <w:rsid w:val="009D6AC3"/>
    <w:rsid w:val="009E2662"/>
    <w:rsid w:val="009E2C63"/>
    <w:rsid w:val="009E36EC"/>
    <w:rsid w:val="009E3892"/>
    <w:rsid w:val="009E64E0"/>
    <w:rsid w:val="009E72CC"/>
    <w:rsid w:val="009E7A1D"/>
    <w:rsid w:val="009F0499"/>
    <w:rsid w:val="009F5D77"/>
    <w:rsid w:val="00A01C6C"/>
    <w:rsid w:val="00A04936"/>
    <w:rsid w:val="00A04D61"/>
    <w:rsid w:val="00A07816"/>
    <w:rsid w:val="00A116A1"/>
    <w:rsid w:val="00A14A28"/>
    <w:rsid w:val="00A2035A"/>
    <w:rsid w:val="00A235AC"/>
    <w:rsid w:val="00A244CB"/>
    <w:rsid w:val="00A247B5"/>
    <w:rsid w:val="00A2638D"/>
    <w:rsid w:val="00A26804"/>
    <w:rsid w:val="00A301B5"/>
    <w:rsid w:val="00A30DF0"/>
    <w:rsid w:val="00A31ABF"/>
    <w:rsid w:val="00A32567"/>
    <w:rsid w:val="00A36025"/>
    <w:rsid w:val="00A3608A"/>
    <w:rsid w:val="00A36795"/>
    <w:rsid w:val="00A40643"/>
    <w:rsid w:val="00A474F6"/>
    <w:rsid w:val="00A51AB0"/>
    <w:rsid w:val="00A52C7C"/>
    <w:rsid w:val="00A553EF"/>
    <w:rsid w:val="00A55540"/>
    <w:rsid w:val="00A56DA6"/>
    <w:rsid w:val="00A6049B"/>
    <w:rsid w:val="00A63726"/>
    <w:rsid w:val="00A65941"/>
    <w:rsid w:val="00A6769C"/>
    <w:rsid w:val="00A7474A"/>
    <w:rsid w:val="00A753B9"/>
    <w:rsid w:val="00A774F1"/>
    <w:rsid w:val="00A77976"/>
    <w:rsid w:val="00A77AE2"/>
    <w:rsid w:val="00A824FB"/>
    <w:rsid w:val="00A836DE"/>
    <w:rsid w:val="00A865E5"/>
    <w:rsid w:val="00A8724D"/>
    <w:rsid w:val="00A931B9"/>
    <w:rsid w:val="00A932B7"/>
    <w:rsid w:val="00A93A04"/>
    <w:rsid w:val="00A95B91"/>
    <w:rsid w:val="00A95CAA"/>
    <w:rsid w:val="00AA2D03"/>
    <w:rsid w:val="00AA4D4F"/>
    <w:rsid w:val="00AA60A6"/>
    <w:rsid w:val="00AA61BA"/>
    <w:rsid w:val="00AA6E88"/>
    <w:rsid w:val="00AB46E9"/>
    <w:rsid w:val="00AB652D"/>
    <w:rsid w:val="00AB7B26"/>
    <w:rsid w:val="00AB7F94"/>
    <w:rsid w:val="00AC11C1"/>
    <w:rsid w:val="00AC4B07"/>
    <w:rsid w:val="00AC6462"/>
    <w:rsid w:val="00AD026D"/>
    <w:rsid w:val="00AD04A7"/>
    <w:rsid w:val="00AD4D06"/>
    <w:rsid w:val="00AD606C"/>
    <w:rsid w:val="00AD78AC"/>
    <w:rsid w:val="00AE0492"/>
    <w:rsid w:val="00AE07FF"/>
    <w:rsid w:val="00AE5132"/>
    <w:rsid w:val="00AE5A01"/>
    <w:rsid w:val="00AE5DD8"/>
    <w:rsid w:val="00AF0284"/>
    <w:rsid w:val="00AF0A51"/>
    <w:rsid w:val="00AF1217"/>
    <w:rsid w:val="00AF43C5"/>
    <w:rsid w:val="00AF57CE"/>
    <w:rsid w:val="00AF7438"/>
    <w:rsid w:val="00B00E38"/>
    <w:rsid w:val="00B02CB6"/>
    <w:rsid w:val="00B040E9"/>
    <w:rsid w:val="00B07455"/>
    <w:rsid w:val="00B121E3"/>
    <w:rsid w:val="00B123D8"/>
    <w:rsid w:val="00B14365"/>
    <w:rsid w:val="00B1509E"/>
    <w:rsid w:val="00B16110"/>
    <w:rsid w:val="00B1613C"/>
    <w:rsid w:val="00B17BC8"/>
    <w:rsid w:val="00B21D82"/>
    <w:rsid w:val="00B257A4"/>
    <w:rsid w:val="00B262F2"/>
    <w:rsid w:val="00B27E21"/>
    <w:rsid w:val="00B30DF7"/>
    <w:rsid w:val="00B3720C"/>
    <w:rsid w:val="00B37E9C"/>
    <w:rsid w:val="00B52856"/>
    <w:rsid w:val="00B529AD"/>
    <w:rsid w:val="00B60188"/>
    <w:rsid w:val="00B62BCA"/>
    <w:rsid w:val="00B64A01"/>
    <w:rsid w:val="00B654A0"/>
    <w:rsid w:val="00B65573"/>
    <w:rsid w:val="00B73C7D"/>
    <w:rsid w:val="00B85C2D"/>
    <w:rsid w:val="00B9033A"/>
    <w:rsid w:val="00B90BE2"/>
    <w:rsid w:val="00B915A0"/>
    <w:rsid w:val="00B966CB"/>
    <w:rsid w:val="00BB0682"/>
    <w:rsid w:val="00BB110E"/>
    <w:rsid w:val="00BB3A3D"/>
    <w:rsid w:val="00BB5012"/>
    <w:rsid w:val="00BC228E"/>
    <w:rsid w:val="00BC6C03"/>
    <w:rsid w:val="00BC75DF"/>
    <w:rsid w:val="00BD234B"/>
    <w:rsid w:val="00BD2598"/>
    <w:rsid w:val="00BD416E"/>
    <w:rsid w:val="00BD759F"/>
    <w:rsid w:val="00BE13F0"/>
    <w:rsid w:val="00BE456B"/>
    <w:rsid w:val="00BE7A0E"/>
    <w:rsid w:val="00BF0EF4"/>
    <w:rsid w:val="00C02BF4"/>
    <w:rsid w:val="00C065AA"/>
    <w:rsid w:val="00C06E1A"/>
    <w:rsid w:val="00C07195"/>
    <w:rsid w:val="00C074AF"/>
    <w:rsid w:val="00C14653"/>
    <w:rsid w:val="00C15CB7"/>
    <w:rsid w:val="00C17046"/>
    <w:rsid w:val="00C20395"/>
    <w:rsid w:val="00C21DAC"/>
    <w:rsid w:val="00C22190"/>
    <w:rsid w:val="00C22AD9"/>
    <w:rsid w:val="00C243F5"/>
    <w:rsid w:val="00C27EB7"/>
    <w:rsid w:val="00C30A8E"/>
    <w:rsid w:val="00C33475"/>
    <w:rsid w:val="00C36720"/>
    <w:rsid w:val="00C449F0"/>
    <w:rsid w:val="00C50C88"/>
    <w:rsid w:val="00C514B1"/>
    <w:rsid w:val="00C52357"/>
    <w:rsid w:val="00C60C73"/>
    <w:rsid w:val="00C70EE2"/>
    <w:rsid w:val="00C74C94"/>
    <w:rsid w:val="00C75678"/>
    <w:rsid w:val="00C82F78"/>
    <w:rsid w:val="00C84E00"/>
    <w:rsid w:val="00C87197"/>
    <w:rsid w:val="00C90326"/>
    <w:rsid w:val="00C913E1"/>
    <w:rsid w:val="00C92330"/>
    <w:rsid w:val="00C94CAD"/>
    <w:rsid w:val="00C9598F"/>
    <w:rsid w:val="00C96FD8"/>
    <w:rsid w:val="00CA34AB"/>
    <w:rsid w:val="00CB232C"/>
    <w:rsid w:val="00CB23F2"/>
    <w:rsid w:val="00CC3443"/>
    <w:rsid w:val="00CC4C58"/>
    <w:rsid w:val="00CC68D8"/>
    <w:rsid w:val="00CC6FA3"/>
    <w:rsid w:val="00CC76A6"/>
    <w:rsid w:val="00CD1EF0"/>
    <w:rsid w:val="00CD1F60"/>
    <w:rsid w:val="00CD5FEE"/>
    <w:rsid w:val="00CD7F56"/>
    <w:rsid w:val="00CE0F37"/>
    <w:rsid w:val="00CE1175"/>
    <w:rsid w:val="00CE15E8"/>
    <w:rsid w:val="00CE2395"/>
    <w:rsid w:val="00CE38F6"/>
    <w:rsid w:val="00CE6E47"/>
    <w:rsid w:val="00CF017E"/>
    <w:rsid w:val="00D000D8"/>
    <w:rsid w:val="00D03050"/>
    <w:rsid w:val="00D036AB"/>
    <w:rsid w:val="00D045E3"/>
    <w:rsid w:val="00D05517"/>
    <w:rsid w:val="00D0686E"/>
    <w:rsid w:val="00D107FD"/>
    <w:rsid w:val="00D1097D"/>
    <w:rsid w:val="00D1237A"/>
    <w:rsid w:val="00D15303"/>
    <w:rsid w:val="00D23E78"/>
    <w:rsid w:val="00D25BF7"/>
    <w:rsid w:val="00D27508"/>
    <w:rsid w:val="00D27960"/>
    <w:rsid w:val="00D3465C"/>
    <w:rsid w:val="00D35196"/>
    <w:rsid w:val="00D35D61"/>
    <w:rsid w:val="00D37014"/>
    <w:rsid w:val="00D40F8F"/>
    <w:rsid w:val="00D4108D"/>
    <w:rsid w:val="00D41BD3"/>
    <w:rsid w:val="00D44874"/>
    <w:rsid w:val="00D457C6"/>
    <w:rsid w:val="00D47641"/>
    <w:rsid w:val="00D51FC6"/>
    <w:rsid w:val="00D52F32"/>
    <w:rsid w:val="00D57D9A"/>
    <w:rsid w:val="00D60144"/>
    <w:rsid w:val="00D620A2"/>
    <w:rsid w:val="00D73254"/>
    <w:rsid w:val="00D73C93"/>
    <w:rsid w:val="00D74519"/>
    <w:rsid w:val="00D74C59"/>
    <w:rsid w:val="00D83044"/>
    <w:rsid w:val="00D86F13"/>
    <w:rsid w:val="00D96B51"/>
    <w:rsid w:val="00DA57BB"/>
    <w:rsid w:val="00DA604A"/>
    <w:rsid w:val="00DB01C7"/>
    <w:rsid w:val="00DC0B1B"/>
    <w:rsid w:val="00DC476F"/>
    <w:rsid w:val="00DC5C75"/>
    <w:rsid w:val="00DD005B"/>
    <w:rsid w:val="00DD1513"/>
    <w:rsid w:val="00DD1F45"/>
    <w:rsid w:val="00DD3E26"/>
    <w:rsid w:val="00DD4E4E"/>
    <w:rsid w:val="00DD7D16"/>
    <w:rsid w:val="00DE01F1"/>
    <w:rsid w:val="00DE0661"/>
    <w:rsid w:val="00DE07FC"/>
    <w:rsid w:val="00DE4855"/>
    <w:rsid w:val="00DE71AF"/>
    <w:rsid w:val="00DF0361"/>
    <w:rsid w:val="00DF0BA4"/>
    <w:rsid w:val="00DF21F8"/>
    <w:rsid w:val="00DF4B26"/>
    <w:rsid w:val="00DF63DE"/>
    <w:rsid w:val="00DF6BF4"/>
    <w:rsid w:val="00DF744F"/>
    <w:rsid w:val="00E0005D"/>
    <w:rsid w:val="00E000C9"/>
    <w:rsid w:val="00E00BA7"/>
    <w:rsid w:val="00E043D2"/>
    <w:rsid w:val="00E054CB"/>
    <w:rsid w:val="00E13292"/>
    <w:rsid w:val="00E13E99"/>
    <w:rsid w:val="00E1504A"/>
    <w:rsid w:val="00E16ECD"/>
    <w:rsid w:val="00E17EFD"/>
    <w:rsid w:val="00E20294"/>
    <w:rsid w:val="00E21A2E"/>
    <w:rsid w:val="00E21AB2"/>
    <w:rsid w:val="00E21ABF"/>
    <w:rsid w:val="00E2686E"/>
    <w:rsid w:val="00E31D23"/>
    <w:rsid w:val="00E41E5A"/>
    <w:rsid w:val="00E4387B"/>
    <w:rsid w:val="00E449CE"/>
    <w:rsid w:val="00E46388"/>
    <w:rsid w:val="00E46A19"/>
    <w:rsid w:val="00E46FC4"/>
    <w:rsid w:val="00E50B71"/>
    <w:rsid w:val="00E518A0"/>
    <w:rsid w:val="00E54619"/>
    <w:rsid w:val="00E56563"/>
    <w:rsid w:val="00E6006E"/>
    <w:rsid w:val="00E66E67"/>
    <w:rsid w:val="00E672CE"/>
    <w:rsid w:val="00E7011F"/>
    <w:rsid w:val="00E7185B"/>
    <w:rsid w:val="00E8189D"/>
    <w:rsid w:val="00E844A2"/>
    <w:rsid w:val="00E86CA0"/>
    <w:rsid w:val="00E8787E"/>
    <w:rsid w:val="00E953F8"/>
    <w:rsid w:val="00E95A02"/>
    <w:rsid w:val="00E96F38"/>
    <w:rsid w:val="00EA0C86"/>
    <w:rsid w:val="00EA19B5"/>
    <w:rsid w:val="00EA3078"/>
    <w:rsid w:val="00EA53EA"/>
    <w:rsid w:val="00EB3C08"/>
    <w:rsid w:val="00EC13C2"/>
    <w:rsid w:val="00EC29C3"/>
    <w:rsid w:val="00EC36E8"/>
    <w:rsid w:val="00EC7380"/>
    <w:rsid w:val="00ED37EE"/>
    <w:rsid w:val="00EE031E"/>
    <w:rsid w:val="00EE283F"/>
    <w:rsid w:val="00EE423F"/>
    <w:rsid w:val="00EE6FCD"/>
    <w:rsid w:val="00EF02CC"/>
    <w:rsid w:val="00EF030C"/>
    <w:rsid w:val="00EF041E"/>
    <w:rsid w:val="00EF0F1C"/>
    <w:rsid w:val="00EF3744"/>
    <w:rsid w:val="00EF78EC"/>
    <w:rsid w:val="00F04032"/>
    <w:rsid w:val="00F04583"/>
    <w:rsid w:val="00F04F4C"/>
    <w:rsid w:val="00F07422"/>
    <w:rsid w:val="00F10CEF"/>
    <w:rsid w:val="00F112D8"/>
    <w:rsid w:val="00F123A3"/>
    <w:rsid w:val="00F134B1"/>
    <w:rsid w:val="00F142BA"/>
    <w:rsid w:val="00F14826"/>
    <w:rsid w:val="00F15A7A"/>
    <w:rsid w:val="00F17C6D"/>
    <w:rsid w:val="00F22AD4"/>
    <w:rsid w:val="00F22FED"/>
    <w:rsid w:val="00F2355C"/>
    <w:rsid w:val="00F25AAD"/>
    <w:rsid w:val="00F27B2C"/>
    <w:rsid w:val="00F34877"/>
    <w:rsid w:val="00F36F1F"/>
    <w:rsid w:val="00F3718E"/>
    <w:rsid w:val="00F3727C"/>
    <w:rsid w:val="00F424D1"/>
    <w:rsid w:val="00F43558"/>
    <w:rsid w:val="00F43F2C"/>
    <w:rsid w:val="00F537B0"/>
    <w:rsid w:val="00F55647"/>
    <w:rsid w:val="00F5621D"/>
    <w:rsid w:val="00F568D5"/>
    <w:rsid w:val="00F608B1"/>
    <w:rsid w:val="00F61733"/>
    <w:rsid w:val="00F6328D"/>
    <w:rsid w:val="00F67DC8"/>
    <w:rsid w:val="00F67EA0"/>
    <w:rsid w:val="00F71EE1"/>
    <w:rsid w:val="00F73BFF"/>
    <w:rsid w:val="00F73F27"/>
    <w:rsid w:val="00F748B7"/>
    <w:rsid w:val="00F769C8"/>
    <w:rsid w:val="00F76F59"/>
    <w:rsid w:val="00F77C0B"/>
    <w:rsid w:val="00F84B2A"/>
    <w:rsid w:val="00F87278"/>
    <w:rsid w:val="00F903C1"/>
    <w:rsid w:val="00F91313"/>
    <w:rsid w:val="00F9180B"/>
    <w:rsid w:val="00F91C64"/>
    <w:rsid w:val="00F96DD2"/>
    <w:rsid w:val="00FA3251"/>
    <w:rsid w:val="00FA4AD8"/>
    <w:rsid w:val="00FA50BC"/>
    <w:rsid w:val="00FC35D4"/>
    <w:rsid w:val="00FC407C"/>
    <w:rsid w:val="00FC7130"/>
    <w:rsid w:val="00FD07A0"/>
    <w:rsid w:val="00FD0A05"/>
    <w:rsid w:val="00FD4177"/>
    <w:rsid w:val="00FE198B"/>
    <w:rsid w:val="00FE4A5A"/>
    <w:rsid w:val="00FE50F6"/>
    <w:rsid w:val="00FE5519"/>
    <w:rsid w:val="00FE5C8E"/>
    <w:rsid w:val="00FE6AE3"/>
    <w:rsid w:val="00FE70F8"/>
    <w:rsid w:val="00FE793D"/>
    <w:rsid w:val="00FF1A62"/>
    <w:rsid w:val="00FF2301"/>
    <w:rsid w:val="00FF637A"/>
    <w:rsid w:val="12BC78AF"/>
    <w:rsid w:val="35E160D6"/>
    <w:rsid w:val="4DB0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242179"/>
  <w15:docId w15:val="{C8E8C3BB-3E9B-46B9-9FD1-47DC43AE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A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37743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table" w:customStyle="1" w:styleId="4-21">
    <w:name w:val="网格表 4 - 着色 21"/>
    <w:basedOn w:val="a1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51">
    <w:name w:val="无格式表格 51"/>
    <w:basedOn w:val="a1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单表 7 彩色 - 着色 21"/>
    <w:basedOn w:val="a1"/>
    <w:uiPriority w:val="52"/>
    <w:rPr>
      <w:color w:val="C45911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-21">
    <w:name w:val="网格表 3 - 着色 21"/>
    <w:basedOn w:val="a1"/>
    <w:uiPriority w:val="48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af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table" w:customStyle="1" w:styleId="2-21">
    <w:name w:val="网格表 2 - 着色 21"/>
    <w:basedOn w:val="a1"/>
    <w:uiPriority w:val="47"/>
    <w:rPr>
      <w:kern w:val="2"/>
      <w:sz w:val="21"/>
      <w:szCs w:val="22"/>
    </w:rPr>
    <w:tblPr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2-22">
    <w:name w:val="网格表 2 - 着色 22"/>
    <w:basedOn w:val="a1"/>
    <w:uiPriority w:val="47"/>
    <w:tblPr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221">
    <w:name w:val="网格表 2 - 着色 221"/>
    <w:basedOn w:val="a1"/>
    <w:uiPriority w:val="47"/>
    <w:rPr>
      <w:kern w:val="2"/>
      <w:sz w:val="21"/>
      <w:szCs w:val="22"/>
    </w:rPr>
    <w:tblPr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12">
    <w:name w:val="网格型1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3608A"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37743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graphtitle">
    <w:name w:val="graphtitle"/>
    <w:basedOn w:val="a0"/>
    <w:rsid w:val="00DD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920E-D2A0-4275-8D1B-E80E7BAC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1366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Shan Liu</cp:lastModifiedBy>
  <cp:revision>8</cp:revision>
  <cp:lastPrinted>2023-02-26T11:50:00Z</cp:lastPrinted>
  <dcterms:created xsi:type="dcterms:W3CDTF">2024-01-28T06:11:00Z</dcterms:created>
  <dcterms:modified xsi:type="dcterms:W3CDTF">2024-01-28T17:40:00Z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42738E1DFFDA490285B99478D9D4A8DA</vt:lpwstr>
  </property>
  <property fmtid="{D5CDD505-2E9C-101B-9397-08002B2CF9AE}" pid="4" name="BD_Revisions_Count">
    <vt:lpwstr>0</vt:lpwstr>
  </property>
  <property fmtid="{D5CDD505-2E9C-101B-9397-08002B2CF9AE}" pid="5" name="BD_IsTrackRevisions">
    <vt:lpwstr>0</vt:lpwstr>
  </property>
  <property fmtid="{D5CDD505-2E9C-101B-9397-08002B2CF9AE}" pid="6" name="BD_Word_FileSize">
    <vt:lpwstr>639387</vt:lpwstr>
  </property>
  <property fmtid="{D5CDD505-2E9C-101B-9397-08002B2CF9AE}" pid="7" name="BD_Report_Pages">
    <vt:lpwstr>14</vt:lpwstr>
  </property>
  <property fmtid="{D5CDD505-2E9C-101B-9397-08002B2CF9AE}" pid="8" name="BD_Report_Characters">
    <vt:lpwstr>6917</vt:lpwstr>
  </property>
  <property fmtid="{D5CDD505-2E9C-101B-9397-08002B2CF9AE}" pid="9" name="BD_CompareCompanyModel">
    <vt:lpwstr/>
  </property>
  <property fmtid="{D5CDD505-2E9C-101B-9397-08002B2CF9AE}" pid="10" name="BD_WORD_Version">
    <vt:lpwstr>16.0.16227.20258</vt:lpwstr>
  </property>
  <property fmtid="{D5CDD505-2E9C-101B-9397-08002B2CF9AE}" pid="11" name="BD_Word_Protection_Status">
    <vt:lpwstr>0</vt:lpwstr>
  </property>
  <property fmtid="{D5CDD505-2E9C-101B-9397-08002B2CF9AE}" pid="12" name="BD_Word_Remind_Lock">
    <vt:lpwstr>0</vt:lpwstr>
  </property>
  <property fmtid="{D5CDD505-2E9C-101B-9397-08002B2CF9AE}" pid="13" name="BD_Document_Page_Count">
    <vt:lpwstr>15</vt:lpwstr>
  </property>
  <property fmtid="{D5CDD505-2E9C-101B-9397-08002B2CF9AE}" pid="14" name="ZX_Claim_Page_Number">
    <vt:lpwstr>15</vt:lpwstr>
  </property>
</Properties>
</file>