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03C93" w14:textId="77777777" w:rsidR="000629FB" w:rsidRDefault="003020C5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anchor distT="0" distB="0" distL="0" distR="0" simplePos="0" relativeHeight="2" behindDoc="1" locked="0" layoutInCell="1" allowOverlap="1" wp14:anchorId="6C32929D" wp14:editId="6B2F7DD4">
            <wp:simplePos x="0" y="0"/>
            <wp:positionH relativeFrom="page">
              <wp:align>left</wp:align>
            </wp:positionH>
            <wp:positionV relativeFrom="paragraph">
              <wp:posOffset>-912495</wp:posOffset>
            </wp:positionV>
            <wp:extent cx="7530465" cy="2476500"/>
            <wp:effectExtent l="0" t="0" r="0" b="0"/>
            <wp:wrapNone/>
            <wp:docPr id="102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7530465" cy="2476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80BDE1" w14:textId="77777777" w:rsidR="000629FB" w:rsidRDefault="003020C5">
      <w:pPr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/>
          <w:bCs/>
          <w:color w:val="000000"/>
          <w:sz w:val="32"/>
          <w:szCs w:val="32"/>
        </w:rPr>
        <w:t>飘风不终朝，骤雨不终日</w:t>
      </w:r>
    </w:p>
    <w:p w14:paraId="29011890" w14:textId="77777777" w:rsidR="000629FB" w:rsidRDefault="003020C5">
      <w:pPr>
        <w:spacing w:line="360" w:lineRule="auto"/>
        <w:ind w:firstLineChars="200" w:firstLine="560"/>
        <w:jc w:val="right"/>
        <w:rPr>
          <w:rFonts w:ascii="黑体" w:eastAsia="黑体" w:hAnsi="黑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——鑫元周观点（</w:t>
      </w:r>
      <w:r>
        <w:rPr>
          <w:rFonts w:ascii="楷体" w:eastAsia="楷体" w:hAnsi="楷体" w:hint="eastAsia"/>
          <w:sz w:val="28"/>
          <w:szCs w:val="28"/>
        </w:rPr>
        <w:t>2</w:t>
      </w:r>
      <w:r>
        <w:rPr>
          <w:rFonts w:ascii="楷体" w:eastAsia="楷体" w:hAnsi="楷体"/>
          <w:sz w:val="28"/>
          <w:szCs w:val="28"/>
        </w:rPr>
        <w:t>024.1.29-2024.2.4</w:t>
      </w:r>
      <w:r>
        <w:rPr>
          <w:rFonts w:ascii="楷体" w:eastAsia="楷体" w:hAnsi="楷体" w:hint="eastAsia"/>
          <w:sz w:val="28"/>
          <w:szCs w:val="28"/>
        </w:rPr>
        <w:t>）</w:t>
      </w:r>
    </w:p>
    <w:p w14:paraId="2A180C27" w14:textId="77777777" w:rsidR="000629FB" w:rsidRDefault="000629FB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14:paraId="779704B6" w14:textId="77777777" w:rsidR="000629FB" w:rsidRDefault="003020C5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</w:t>
      </w:r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/>
          <w:sz w:val="28"/>
          <w:szCs w:val="28"/>
        </w:rPr>
        <w:t>核心观点</w:t>
      </w:r>
    </w:p>
    <w:p w14:paraId="779CC46F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宏观方面，</w:t>
      </w:r>
      <w:r>
        <w:rPr>
          <w:rFonts w:ascii="仿宋" w:eastAsia="仿宋" w:hAnsi="仿宋" w:hint="eastAsia"/>
          <w:bCs/>
          <w:sz w:val="24"/>
          <w:szCs w:val="24"/>
        </w:rPr>
        <w:t>1</w:t>
      </w:r>
      <w:r>
        <w:rPr>
          <w:rFonts w:ascii="仿宋" w:eastAsia="仿宋" w:hAnsi="仿宋" w:hint="eastAsia"/>
          <w:bCs/>
          <w:sz w:val="24"/>
          <w:szCs w:val="24"/>
        </w:rPr>
        <w:t>月国内</w:t>
      </w:r>
      <w:r>
        <w:rPr>
          <w:rFonts w:ascii="仿宋" w:eastAsia="仿宋" w:hAnsi="仿宋" w:hint="eastAsia"/>
          <w:bCs/>
          <w:sz w:val="24"/>
          <w:szCs w:val="24"/>
        </w:rPr>
        <w:t>PMI</w:t>
      </w:r>
      <w:r>
        <w:rPr>
          <w:rFonts w:ascii="仿宋" w:eastAsia="仿宋" w:hAnsi="仿宋" w:hint="eastAsia"/>
          <w:bCs/>
          <w:sz w:val="24"/>
          <w:szCs w:val="24"/>
        </w:rPr>
        <w:t>环比小幅改善，美国非农就业强于预期。国内方面，</w:t>
      </w:r>
      <w:r>
        <w:rPr>
          <w:rFonts w:ascii="仿宋" w:eastAsia="仿宋" w:hAnsi="仿宋" w:hint="eastAsia"/>
          <w:bCs/>
          <w:sz w:val="24"/>
          <w:szCs w:val="24"/>
        </w:rPr>
        <w:t>1</w:t>
      </w:r>
      <w:r>
        <w:rPr>
          <w:rFonts w:ascii="仿宋" w:eastAsia="仿宋" w:hAnsi="仿宋" w:hint="eastAsia"/>
          <w:bCs/>
          <w:sz w:val="24"/>
          <w:szCs w:val="24"/>
        </w:rPr>
        <w:t>月官方制造业</w:t>
      </w:r>
      <w:r>
        <w:rPr>
          <w:rFonts w:ascii="仿宋" w:eastAsia="仿宋" w:hAnsi="仿宋" w:hint="eastAsia"/>
          <w:bCs/>
          <w:sz w:val="24"/>
          <w:szCs w:val="24"/>
        </w:rPr>
        <w:t>PMI</w:t>
      </w:r>
      <w:r>
        <w:rPr>
          <w:rFonts w:ascii="仿宋" w:eastAsia="仿宋" w:hAnsi="仿宋" w:hint="eastAsia"/>
          <w:bCs/>
          <w:sz w:val="24"/>
          <w:szCs w:val="24"/>
        </w:rPr>
        <w:t>录得</w:t>
      </w:r>
      <w:r>
        <w:rPr>
          <w:rFonts w:ascii="仿宋" w:eastAsia="仿宋" w:hAnsi="仿宋" w:hint="eastAsia"/>
          <w:bCs/>
          <w:sz w:val="24"/>
          <w:szCs w:val="24"/>
        </w:rPr>
        <w:t>49.2%</w:t>
      </w:r>
      <w:r>
        <w:rPr>
          <w:rFonts w:ascii="仿宋" w:eastAsia="仿宋" w:hAnsi="仿宋" w:hint="eastAsia"/>
          <w:bCs/>
          <w:sz w:val="24"/>
          <w:szCs w:val="24"/>
        </w:rPr>
        <w:t>，环比去年</w:t>
      </w:r>
      <w:r>
        <w:rPr>
          <w:rFonts w:ascii="仿宋" w:eastAsia="仿宋" w:hAnsi="仿宋" w:hint="eastAsia"/>
          <w:bCs/>
          <w:sz w:val="24"/>
          <w:szCs w:val="24"/>
        </w:rPr>
        <w:t>12</w:t>
      </w:r>
      <w:r>
        <w:rPr>
          <w:rFonts w:ascii="仿宋" w:eastAsia="仿宋" w:hAnsi="仿宋" w:hint="eastAsia"/>
          <w:bCs/>
          <w:sz w:val="24"/>
          <w:szCs w:val="24"/>
        </w:rPr>
        <w:t>月小幅改善，但仍位于荣枯线以下且弱于季节性，显示当前国内经济改善步伐偏弱。海外方面，美联储</w:t>
      </w:r>
      <w:r>
        <w:rPr>
          <w:rFonts w:ascii="仿宋" w:eastAsia="仿宋" w:hAnsi="仿宋" w:hint="eastAsia"/>
          <w:bCs/>
          <w:sz w:val="24"/>
          <w:szCs w:val="24"/>
        </w:rPr>
        <w:t>1</w:t>
      </w:r>
      <w:r>
        <w:rPr>
          <w:rFonts w:ascii="仿宋" w:eastAsia="仿宋" w:hAnsi="仿宋" w:hint="eastAsia"/>
          <w:bCs/>
          <w:sz w:val="24"/>
          <w:szCs w:val="24"/>
        </w:rPr>
        <w:t>月</w:t>
      </w:r>
      <w:r>
        <w:rPr>
          <w:rFonts w:ascii="仿宋" w:eastAsia="仿宋" w:hAnsi="仿宋" w:hint="eastAsia"/>
          <w:bCs/>
          <w:sz w:val="24"/>
          <w:szCs w:val="24"/>
        </w:rPr>
        <w:t>FOMC</w:t>
      </w:r>
      <w:r>
        <w:rPr>
          <w:rFonts w:ascii="仿宋" w:eastAsia="仿宋" w:hAnsi="仿宋" w:hint="eastAsia"/>
          <w:bCs/>
          <w:sz w:val="24"/>
          <w:szCs w:val="24"/>
        </w:rPr>
        <w:t>会议维持当前利率水平不变，删除了增量紧缩的表述，但同时明确短期不会考虑降息，与市场预期相比本次</w:t>
      </w:r>
      <w:r>
        <w:rPr>
          <w:rFonts w:ascii="仿宋" w:eastAsia="仿宋" w:hAnsi="仿宋" w:hint="eastAsia"/>
          <w:bCs/>
          <w:sz w:val="24"/>
          <w:szCs w:val="24"/>
        </w:rPr>
        <w:t>FOMC</w:t>
      </w:r>
      <w:r>
        <w:rPr>
          <w:rFonts w:ascii="仿宋" w:eastAsia="仿宋" w:hAnsi="仿宋" w:hint="eastAsia"/>
          <w:bCs/>
          <w:sz w:val="24"/>
          <w:szCs w:val="24"/>
        </w:rPr>
        <w:t>会议总体偏鹰。美国</w:t>
      </w:r>
      <w:r>
        <w:rPr>
          <w:rFonts w:ascii="仿宋" w:eastAsia="仿宋" w:hAnsi="仿宋" w:hint="eastAsia"/>
          <w:bCs/>
          <w:sz w:val="24"/>
          <w:szCs w:val="24"/>
        </w:rPr>
        <w:t>1</w:t>
      </w:r>
      <w:r>
        <w:rPr>
          <w:rFonts w:ascii="仿宋" w:eastAsia="仿宋" w:hAnsi="仿宋" w:hint="eastAsia"/>
          <w:bCs/>
          <w:sz w:val="24"/>
          <w:szCs w:val="24"/>
        </w:rPr>
        <w:t>月非农数据大超预期，失业率维持低位，时薪环比超预期回升，显示美国就业市场相对偏强。</w:t>
      </w:r>
    </w:p>
    <w:p w14:paraId="5428BC27" w14:textId="4B7657A4" w:rsidR="000629FB" w:rsidRDefault="003020C5">
      <w:pPr>
        <w:spacing w:line="360" w:lineRule="auto"/>
        <w:ind w:firstLineChars="200" w:firstLine="482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权益市场方面，</w:t>
      </w:r>
      <w:r>
        <w:rPr>
          <w:rFonts w:ascii="仿宋" w:eastAsia="仿宋" w:hAnsi="仿宋" w:hint="eastAsia"/>
          <w:bCs/>
          <w:sz w:val="24"/>
          <w:szCs w:val="24"/>
        </w:rPr>
        <w:t>上周权益市场大幅下跌，根本原因是流动性不足。流动性风险产生的原因有以下几点：</w:t>
      </w:r>
      <w:r>
        <w:rPr>
          <w:rFonts w:ascii="仿宋" w:eastAsia="仿宋" w:hAnsi="仿宋" w:hint="eastAsia"/>
          <w:bCs/>
          <w:sz w:val="24"/>
          <w:szCs w:val="24"/>
        </w:rPr>
        <w:t>1</w:t>
      </w:r>
      <w:r>
        <w:rPr>
          <w:rFonts w:ascii="仿宋" w:eastAsia="仿宋" w:hAnsi="仿宋" w:hint="eastAsia"/>
          <w:bCs/>
          <w:sz w:val="24"/>
          <w:szCs w:val="24"/>
        </w:rPr>
        <w:t>）宏</w:t>
      </w:r>
      <w:r>
        <w:rPr>
          <w:rFonts w:ascii="仿宋" w:eastAsia="仿宋" w:hAnsi="仿宋" w:hint="eastAsia"/>
          <w:bCs/>
          <w:sz w:val="24"/>
          <w:szCs w:val="24"/>
        </w:rPr>
        <w:t>观原因。</w:t>
      </w:r>
      <w:r>
        <w:rPr>
          <w:rFonts w:ascii="仿宋" w:eastAsia="仿宋" w:hAnsi="仿宋" w:hint="eastAsia"/>
          <w:bCs/>
          <w:sz w:val="24"/>
          <w:szCs w:val="24"/>
        </w:rPr>
        <w:t>2023</w:t>
      </w:r>
      <w:r>
        <w:rPr>
          <w:rFonts w:ascii="仿宋" w:eastAsia="仿宋" w:hAnsi="仿宋" w:hint="eastAsia"/>
          <w:bCs/>
          <w:sz w:val="24"/>
          <w:szCs w:val="24"/>
        </w:rPr>
        <w:t>年下半年美元的实际利率上行，对于新兴市场造成了较大的流出压力，部分消耗了</w:t>
      </w:r>
      <w:r>
        <w:rPr>
          <w:rFonts w:ascii="仿宋" w:eastAsia="仿宋" w:hAnsi="仿宋" w:hint="eastAsia"/>
          <w:bCs/>
          <w:sz w:val="24"/>
          <w:szCs w:val="24"/>
        </w:rPr>
        <w:t>A</w:t>
      </w:r>
      <w:r>
        <w:rPr>
          <w:rFonts w:ascii="仿宋" w:eastAsia="仿宋" w:hAnsi="仿宋" w:hint="eastAsia"/>
          <w:bCs/>
          <w:sz w:val="24"/>
          <w:szCs w:val="24"/>
        </w:rPr>
        <w:t>股市场内部的流动性。从</w:t>
      </w:r>
      <w:r>
        <w:rPr>
          <w:rFonts w:ascii="仿宋" w:eastAsia="仿宋" w:hAnsi="仿宋" w:hint="eastAsia"/>
          <w:bCs/>
          <w:sz w:val="24"/>
          <w:szCs w:val="24"/>
        </w:rPr>
        <w:t>6</w:t>
      </w:r>
      <w:r>
        <w:rPr>
          <w:rFonts w:ascii="仿宋" w:eastAsia="仿宋" w:hAnsi="仿宋" w:hint="eastAsia"/>
          <w:bCs/>
          <w:sz w:val="24"/>
          <w:szCs w:val="24"/>
        </w:rPr>
        <w:t>月以来，国内金融维持紧缩条件，推动无风险利率持续下行，造成系统性风险偏好不断下降，对应权益的估值受到压制。</w:t>
      </w:r>
      <w:r>
        <w:rPr>
          <w:rFonts w:ascii="仿宋" w:eastAsia="仿宋" w:hAnsi="仿宋" w:hint="eastAsia"/>
          <w:bCs/>
          <w:sz w:val="24"/>
          <w:szCs w:val="24"/>
        </w:rPr>
        <w:t>2</w:t>
      </w:r>
      <w:r>
        <w:rPr>
          <w:rFonts w:ascii="仿宋" w:eastAsia="仿宋" w:hAnsi="仿宋" w:hint="eastAsia"/>
          <w:bCs/>
          <w:sz w:val="24"/>
          <w:szCs w:val="24"/>
        </w:rPr>
        <w:t>）行业原因。以沪深</w:t>
      </w:r>
      <w:r>
        <w:rPr>
          <w:rFonts w:ascii="仿宋" w:eastAsia="仿宋" w:hAnsi="仿宋" w:hint="eastAsia"/>
          <w:bCs/>
          <w:sz w:val="24"/>
          <w:szCs w:val="24"/>
        </w:rPr>
        <w:t>300</w:t>
      </w:r>
      <w:r>
        <w:rPr>
          <w:rFonts w:ascii="仿宋" w:eastAsia="仿宋" w:hAnsi="仿宋" w:hint="eastAsia"/>
          <w:bCs/>
          <w:sz w:val="24"/>
          <w:szCs w:val="24"/>
        </w:rPr>
        <w:t>为代表的强宏观资产被减持，内外资均转向哑铃型策略，买入弱宏观资产，但是哑铃策略成立的前提条件未能满足。</w:t>
      </w:r>
      <w:r>
        <w:rPr>
          <w:rFonts w:ascii="仿宋" w:eastAsia="仿宋" w:hAnsi="仿宋" w:hint="eastAsia"/>
          <w:bCs/>
          <w:sz w:val="24"/>
          <w:szCs w:val="24"/>
        </w:rPr>
        <w:t>3</w:t>
      </w:r>
      <w:r>
        <w:rPr>
          <w:rFonts w:ascii="仿宋" w:eastAsia="仿宋" w:hAnsi="仿宋" w:hint="eastAsia"/>
          <w:bCs/>
          <w:sz w:val="24"/>
          <w:szCs w:val="24"/>
        </w:rPr>
        <w:t>）边际原因。</w:t>
      </w:r>
      <w:r>
        <w:rPr>
          <w:rFonts w:ascii="仿宋" w:eastAsia="仿宋" w:hAnsi="仿宋" w:hint="eastAsia"/>
          <w:bCs/>
          <w:sz w:val="24"/>
          <w:szCs w:val="24"/>
        </w:rPr>
        <w:t>1</w:t>
      </w:r>
      <w:r>
        <w:rPr>
          <w:rFonts w:ascii="仿宋" w:eastAsia="仿宋" w:hAnsi="仿宋" w:hint="eastAsia"/>
          <w:bCs/>
          <w:sz w:val="24"/>
          <w:szCs w:val="24"/>
        </w:rPr>
        <w:t>月初以来市场资金快速卖出过度拥挤的成长行业和小市值，造成冲击，叠加外资因海外金融条件变化的重新流出，形成了市场大小共振下跌。在经过市场的阶段性出清之</w:t>
      </w:r>
      <w:r>
        <w:rPr>
          <w:rFonts w:ascii="仿宋" w:eastAsia="仿宋" w:hAnsi="仿宋" w:hint="eastAsia"/>
          <w:bCs/>
          <w:sz w:val="24"/>
          <w:szCs w:val="24"/>
        </w:rPr>
        <w:t>后</w:t>
      </w:r>
      <w:r>
        <w:rPr>
          <w:rFonts w:ascii="仿宋" w:eastAsia="仿宋" w:hAnsi="仿宋" w:hint="eastAsia"/>
          <w:bCs/>
          <w:sz w:val="24"/>
          <w:szCs w:val="24"/>
        </w:rPr>
        <w:t>，在中国经济高质量发展的鼓舞下，我们有理由相信</w:t>
      </w:r>
      <w:r>
        <w:rPr>
          <w:rFonts w:ascii="仿宋" w:eastAsia="仿宋" w:hAnsi="仿宋" w:hint="eastAsia"/>
          <w:bCs/>
          <w:sz w:val="24"/>
          <w:szCs w:val="24"/>
        </w:rPr>
        <w:t>A</w:t>
      </w:r>
      <w:proofErr w:type="gramStart"/>
      <w:r>
        <w:rPr>
          <w:rFonts w:ascii="仿宋" w:eastAsia="仿宋" w:hAnsi="仿宋" w:hint="eastAsia"/>
          <w:bCs/>
          <w:sz w:val="24"/>
          <w:szCs w:val="24"/>
        </w:rPr>
        <w:t>股很快</w:t>
      </w:r>
      <w:proofErr w:type="gramEnd"/>
      <w:r>
        <w:rPr>
          <w:rFonts w:ascii="仿宋" w:eastAsia="仿宋" w:hAnsi="仿宋" w:hint="eastAsia"/>
          <w:bCs/>
          <w:sz w:val="24"/>
          <w:szCs w:val="24"/>
        </w:rPr>
        <w:t>将迎来向上的时刻。</w:t>
      </w:r>
    </w:p>
    <w:p w14:paraId="39C6F850" w14:textId="77777777" w:rsidR="000629FB" w:rsidRDefault="003020C5">
      <w:pPr>
        <w:spacing w:line="360" w:lineRule="auto"/>
        <w:ind w:firstLine="420"/>
        <w:rPr>
          <w:sz w:val="18"/>
          <w:szCs w:val="18"/>
        </w:rPr>
      </w:pPr>
      <w:r>
        <w:rPr>
          <w:rFonts w:ascii="仿宋" w:eastAsia="仿宋" w:hAnsi="仿宋" w:cs="Times New Roman"/>
          <w:b/>
          <w:sz w:val="24"/>
          <w:szCs w:val="24"/>
        </w:rPr>
        <w:t>固收市场方面</w:t>
      </w:r>
      <w:r>
        <w:rPr>
          <w:rFonts w:ascii="仿宋" w:eastAsia="仿宋" w:hAnsi="仿宋" w:cs="Times New Roman" w:hint="eastAsia"/>
          <w:sz w:val="24"/>
          <w:szCs w:val="24"/>
        </w:rPr>
        <w:t>,</w:t>
      </w:r>
      <w:r>
        <w:rPr>
          <w:rFonts w:ascii="仿宋" w:eastAsia="仿宋" w:hAnsi="仿宋" w:cs="Times New Roman" w:hint="eastAsia"/>
          <w:bCs/>
          <w:sz w:val="24"/>
          <w:szCs w:val="24"/>
        </w:rPr>
        <w:t>宽货币预期持续发酵、股债跷跷板效应下，长债收益率大幅下行。宏观经济压力仍存，基本面短期难以显著改善，市场对地产政策的反应也趋于钝化，债市面临的调整风险较小。流动性层面，降准资金即将落地，同时随着春节长假的临近，央行大概率仍将适时呵护市场流动性，预计资金面将保持平稳。数据方面，通胀和金融数据可能于春节前发布，但对于债市的预期不会产生太大的影响。展望后市，预计短期内债券市场将维持震荡偏强的走势。建议利率债账户保持中性久期和仓位，关注长债活跃券的交易机会。信用债方面，鉴于当前期限利差进一步平坦化，建议关注短期性价</w:t>
      </w:r>
      <w:r>
        <w:rPr>
          <w:rFonts w:ascii="仿宋" w:eastAsia="仿宋" w:hAnsi="仿宋" w:cs="Times New Roman" w:hint="eastAsia"/>
          <w:bCs/>
          <w:sz w:val="24"/>
          <w:szCs w:val="24"/>
        </w:rPr>
        <w:t>比更高的票息资产。</w:t>
      </w:r>
    </w:p>
    <w:p w14:paraId="2130EE3B" w14:textId="77777777" w:rsidR="000629FB" w:rsidRDefault="003020C5">
      <w:pPr>
        <w:spacing w:line="360" w:lineRule="auto"/>
        <w:ind w:firstLine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</w:t>
      </w:r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/>
          <w:sz w:val="28"/>
          <w:szCs w:val="28"/>
        </w:rPr>
        <w:t>宏观动态</w:t>
      </w:r>
    </w:p>
    <w:p w14:paraId="6D3006C0" w14:textId="77777777" w:rsidR="000629FB" w:rsidRDefault="003020C5">
      <w:pPr>
        <w:spacing w:line="360" w:lineRule="auto"/>
        <w:ind w:firstLineChars="200" w:firstLine="482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lastRenderedPageBreak/>
        <w:t>（一）国内宏观</w:t>
      </w:r>
    </w:p>
    <w:p w14:paraId="667FF23A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我国经济景气水平有所回升，企业生产经营活动继续保持扩张，</w:t>
      </w:r>
      <w:r>
        <w:rPr>
          <w:rFonts w:ascii="仿宋" w:eastAsia="仿宋" w:hAnsi="仿宋" w:hint="eastAsia"/>
          <w:b/>
          <w:sz w:val="24"/>
          <w:szCs w:val="24"/>
        </w:rPr>
        <w:t>2024</w:t>
      </w:r>
      <w:r>
        <w:rPr>
          <w:rFonts w:ascii="仿宋" w:eastAsia="仿宋" w:hAnsi="仿宋" w:hint="eastAsia"/>
          <w:b/>
          <w:sz w:val="24"/>
          <w:szCs w:val="24"/>
        </w:rPr>
        <w:t>年经济实现平稳开局。</w:t>
      </w:r>
      <w:r>
        <w:rPr>
          <w:rFonts w:ascii="仿宋" w:eastAsia="仿宋" w:hAnsi="仿宋"/>
          <w:sz w:val="24"/>
          <w:szCs w:val="24"/>
        </w:rPr>
        <w:t>国家统计局</w:t>
      </w:r>
      <w:r>
        <w:rPr>
          <w:rFonts w:ascii="仿宋" w:eastAsia="仿宋" w:hAnsi="仿宋" w:hint="eastAsia"/>
          <w:sz w:val="24"/>
          <w:szCs w:val="24"/>
        </w:rPr>
        <w:t>公布数据显示，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月制造业采购经理指数（</w:t>
      </w:r>
      <w:r>
        <w:rPr>
          <w:rFonts w:ascii="仿宋" w:eastAsia="仿宋" w:hAnsi="仿宋" w:hint="eastAsia"/>
          <w:sz w:val="24"/>
          <w:szCs w:val="24"/>
        </w:rPr>
        <w:t>PMI</w:t>
      </w:r>
      <w:r>
        <w:rPr>
          <w:rFonts w:ascii="仿宋" w:eastAsia="仿宋" w:hAnsi="仿宋" w:hint="eastAsia"/>
          <w:sz w:val="24"/>
          <w:szCs w:val="24"/>
        </w:rPr>
        <w:t>）为</w:t>
      </w:r>
      <w:r>
        <w:rPr>
          <w:rFonts w:ascii="仿宋" w:eastAsia="仿宋" w:hAnsi="仿宋" w:hint="eastAsia"/>
          <w:sz w:val="24"/>
          <w:szCs w:val="24"/>
        </w:rPr>
        <w:t>49.2%</w:t>
      </w:r>
      <w:r>
        <w:rPr>
          <w:rFonts w:ascii="仿宋" w:eastAsia="仿宋" w:hAnsi="仿宋" w:hint="eastAsia"/>
          <w:sz w:val="24"/>
          <w:szCs w:val="24"/>
        </w:rPr>
        <w:t>，环比上升</w:t>
      </w:r>
      <w:r>
        <w:rPr>
          <w:rFonts w:ascii="仿宋" w:eastAsia="仿宋" w:hAnsi="仿宋" w:hint="eastAsia"/>
          <w:sz w:val="24"/>
          <w:szCs w:val="24"/>
        </w:rPr>
        <w:t>0.2</w:t>
      </w:r>
      <w:r>
        <w:rPr>
          <w:rFonts w:ascii="仿宋" w:eastAsia="仿宋" w:hAnsi="仿宋" w:hint="eastAsia"/>
          <w:sz w:val="24"/>
          <w:szCs w:val="24"/>
        </w:rPr>
        <w:t>个百分点，结束连续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个月下降势头；</w:t>
      </w:r>
      <w:r>
        <w:rPr>
          <w:rFonts w:ascii="仿宋" w:eastAsia="仿宋" w:hAnsi="仿宋"/>
          <w:sz w:val="24"/>
          <w:szCs w:val="24"/>
        </w:rPr>
        <w:t>非制造业商务活动指数</w:t>
      </w:r>
      <w:r>
        <w:rPr>
          <w:rFonts w:ascii="仿宋" w:eastAsia="仿宋" w:hAnsi="仿宋" w:hint="eastAsia"/>
          <w:sz w:val="24"/>
          <w:szCs w:val="24"/>
        </w:rPr>
        <w:t>为</w:t>
      </w:r>
      <w:r>
        <w:rPr>
          <w:rFonts w:ascii="仿宋" w:eastAsia="仿宋" w:hAnsi="仿宋" w:hint="eastAsia"/>
          <w:sz w:val="24"/>
          <w:szCs w:val="24"/>
        </w:rPr>
        <w:t>50.7%</w:t>
      </w:r>
      <w:r>
        <w:rPr>
          <w:rFonts w:ascii="仿宋" w:eastAsia="仿宋" w:hAnsi="仿宋" w:hint="eastAsia"/>
          <w:sz w:val="24"/>
          <w:szCs w:val="24"/>
        </w:rPr>
        <w:t>，上升</w:t>
      </w:r>
      <w:r>
        <w:rPr>
          <w:rFonts w:ascii="仿宋" w:eastAsia="仿宋" w:hAnsi="仿宋" w:hint="eastAsia"/>
          <w:sz w:val="24"/>
          <w:szCs w:val="24"/>
        </w:rPr>
        <w:t>0.3</w:t>
      </w:r>
      <w:r>
        <w:rPr>
          <w:rFonts w:ascii="仿宋" w:eastAsia="仿宋" w:hAnsi="仿宋" w:hint="eastAsia"/>
          <w:sz w:val="24"/>
          <w:szCs w:val="24"/>
        </w:rPr>
        <w:t>个百分点；综合</w:t>
      </w:r>
      <w:r>
        <w:rPr>
          <w:rFonts w:ascii="仿宋" w:eastAsia="仿宋" w:hAnsi="仿宋" w:hint="eastAsia"/>
          <w:sz w:val="24"/>
          <w:szCs w:val="24"/>
        </w:rPr>
        <w:t>PMI</w:t>
      </w:r>
      <w:r>
        <w:rPr>
          <w:rFonts w:ascii="仿宋" w:eastAsia="仿宋" w:hAnsi="仿宋" w:hint="eastAsia"/>
          <w:sz w:val="24"/>
          <w:szCs w:val="24"/>
        </w:rPr>
        <w:t>产出指数为</w:t>
      </w:r>
      <w:r>
        <w:rPr>
          <w:rFonts w:ascii="仿宋" w:eastAsia="仿宋" w:hAnsi="仿宋" w:hint="eastAsia"/>
          <w:sz w:val="24"/>
          <w:szCs w:val="24"/>
        </w:rPr>
        <w:t>50.9%</w:t>
      </w:r>
      <w:r>
        <w:rPr>
          <w:rFonts w:ascii="仿宋" w:eastAsia="仿宋" w:hAnsi="仿宋" w:hint="eastAsia"/>
          <w:sz w:val="24"/>
          <w:szCs w:val="24"/>
        </w:rPr>
        <w:t>，上升</w:t>
      </w:r>
      <w:r>
        <w:rPr>
          <w:rFonts w:ascii="仿宋" w:eastAsia="仿宋" w:hAnsi="仿宋" w:hint="eastAsia"/>
          <w:sz w:val="24"/>
          <w:szCs w:val="24"/>
        </w:rPr>
        <w:t>0.6</w:t>
      </w:r>
      <w:r>
        <w:rPr>
          <w:rFonts w:ascii="仿宋" w:eastAsia="仿宋" w:hAnsi="仿宋" w:hint="eastAsia"/>
          <w:sz w:val="24"/>
          <w:szCs w:val="24"/>
        </w:rPr>
        <w:t>个百分点，继续高于临界点。</w:t>
      </w:r>
    </w:p>
    <w:p w14:paraId="557C8C49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国新办举行</w:t>
      </w:r>
      <w:r>
        <w:rPr>
          <w:rFonts w:ascii="仿宋" w:eastAsia="仿宋" w:hAnsi="仿宋" w:hint="eastAsia"/>
          <w:b/>
          <w:sz w:val="24"/>
          <w:szCs w:val="24"/>
        </w:rPr>
        <w:t>2023</w:t>
      </w:r>
      <w:r>
        <w:rPr>
          <w:rFonts w:ascii="仿宋" w:eastAsia="仿宋" w:hAnsi="仿宋" w:hint="eastAsia"/>
          <w:b/>
          <w:sz w:val="24"/>
          <w:szCs w:val="24"/>
        </w:rPr>
        <w:t>年财政收支情况新闻发布会。</w:t>
      </w:r>
      <w:r>
        <w:rPr>
          <w:rFonts w:ascii="仿宋" w:eastAsia="仿宋" w:hAnsi="仿宋" w:hint="eastAsia"/>
          <w:sz w:val="24"/>
          <w:szCs w:val="24"/>
        </w:rPr>
        <w:t>财政部表示，</w:t>
      </w:r>
      <w:r>
        <w:rPr>
          <w:rFonts w:ascii="仿宋" w:eastAsia="仿宋" w:hAnsi="仿宋" w:hint="eastAsia"/>
          <w:sz w:val="24"/>
          <w:szCs w:val="24"/>
        </w:rPr>
        <w:t>2023</w:t>
      </w:r>
      <w:r>
        <w:rPr>
          <w:rFonts w:ascii="仿宋" w:eastAsia="仿宋" w:hAnsi="仿宋" w:hint="eastAsia"/>
          <w:sz w:val="24"/>
          <w:szCs w:val="24"/>
        </w:rPr>
        <w:t>年财政收入呈现出恢复性增长，财政支出持续加力，不存在财政支出收缩情况。中</w:t>
      </w:r>
      <w:r>
        <w:rPr>
          <w:rFonts w:ascii="仿宋" w:eastAsia="仿宋" w:hAnsi="仿宋" w:hint="eastAsia"/>
          <w:sz w:val="24"/>
          <w:szCs w:val="24"/>
        </w:rPr>
        <w:t>央要求</w:t>
      </w:r>
      <w:r>
        <w:rPr>
          <w:rFonts w:ascii="仿宋" w:eastAsia="仿宋" w:hAnsi="仿宋" w:hint="eastAsia"/>
          <w:sz w:val="24"/>
          <w:szCs w:val="24"/>
        </w:rPr>
        <w:t>2024</w:t>
      </w:r>
      <w:r>
        <w:rPr>
          <w:rFonts w:ascii="仿宋" w:eastAsia="仿宋" w:hAnsi="仿宋" w:hint="eastAsia"/>
          <w:sz w:val="24"/>
          <w:szCs w:val="24"/>
        </w:rPr>
        <w:t>年积极财政政策适度加力，提质增效。</w:t>
      </w:r>
      <w:r>
        <w:rPr>
          <w:rFonts w:ascii="仿宋" w:eastAsia="仿宋" w:hAnsi="仿宋"/>
          <w:sz w:val="24"/>
          <w:szCs w:val="24"/>
        </w:rPr>
        <w:t>财政部</w:t>
      </w:r>
      <w:r>
        <w:rPr>
          <w:rFonts w:ascii="仿宋" w:eastAsia="仿宋" w:hAnsi="仿宋" w:hint="eastAsia"/>
          <w:sz w:val="24"/>
          <w:szCs w:val="24"/>
        </w:rPr>
        <w:t>将用好相关国债资金，继续安排一定规模地方政府</w:t>
      </w:r>
      <w:r>
        <w:rPr>
          <w:rFonts w:ascii="仿宋" w:eastAsia="仿宋" w:hAnsi="仿宋"/>
          <w:sz w:val="24"/>
          <w:szCs w:val="24"/>
        </w:rPr>
        <w:t>专项债券</w:t>
      </w:r>
      <w:r>
        <w:rPr>
          <w:rFonts w:ascii="仿宋" w:eastAsia="仿宋" w:hAnsi="仿宋" w:hint="eastAsia"/>
          <w:sz w:val="24"/>
          <w:szCs w:val="24"/>
        </w:rPr>
        <w:t>，适当增加中央预算内投资规模等，发挥好政府投资带动放大效应。</w:t>
      </w:r>
      <w:r>
        <w:rPr>
          <w:rFonts w:ascii="仿宋" w:eastAsia="仿宋" w:hAnsi="仿宋"/>
          <w:sz w:val="24"/>
          <w:szCs w:val="24"/>
        </w:rPr>
        <w:t>财政部</w:t>
      </w:r>
      <w:r>
        <w:rPr>
          <w:rFonts w:ascii="仿宋" w:eastAsia="仿宋" w:hAnsi="仿宋" w:hint="eastAsia"/>
          <w:sz w:val="24"/>
          <w:szCs w:val="24"/>
        </w:rPr>
        <w:t>同时指出，截至</w:t>
      </w:r>
      <w:r>
        <w:rPr>
          <w:rFonts w:ascii="仿宋" w:eastAsia="仿宋" w:hAnsi="仿宋" w:hint="eastAsia"/>
          <w:sz w:val="24"/>
          <w:szCs w:val="24"/>
        </w:rPr>
        <w:t>2023</w:t>
      </w:r>
      <w:r>
        <w:rPr>
          <w:rFonts w:ascii="仿宋" w:eastAsia="仿宋" w:hAnsi="仿宋" w:hint="eastAsia"/>
          <w:sz w:val="24"/>
          <w:szCs w:val="24"/>
        </w:rPr>
        <w:t>年底，全国企业职工基本养老保险基金累计结余接近</w:t>
      </w:r>
      <w:r>
        <w:rPr>
          <w:rFonts w:ascii="仿宋" w:eastAsia="仿宋" w:hAnsi="仿宋" w:hint="eastAsia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万亿元，能够保证养老金按时足额发放。</w:t>
      </w:r>
    </w:p>
    <w:p w14:paraId="261EB7F8" w14:textId="17FD4969" w:rsidR="000629FB" w:rsidRDefault="003020C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2024</w:t>
      </w:r>
      <w:r>
        <w:rPr>
          <w:rFonts w:ascii="仿宋" w:eastAsia="仿宋" w:hAnsi="仿宋" w:hint="eastAsia"/>
          <w:b/>
          <w:sz w:val="24"/>
          <w:szCs w:val="24"/>
        </w:rPr>
        <w:t>年中央一号文件发布，提出有力有效推进乡村全面振兴“路线图”。</w:t>
      </w:r>
      <w:r>
        <w:rPr>
          <w:rFonts w:ascii="仿宋" w:eastAsia="仿宋" w:hAnsi="仿宋" w:hint="eastAsia"/>
          <w:sz w:val="24"/>
          <w:szCs w:val="24"/>
        </w:rPr>
        <w:t>文件题为《中共中央国务院关于学习运用“千村示范、万村整治”工程经验有力有效推进乡村全面振兴的意见》，指出以确保国家粮食安全、确保不发生规模性返贫为底线，以提升乡村产</w:t>
      </w:r>
      <w:r>
        <w:rPr>
          <w:rFonts w:ascii="仿宋" w:eastAsia="仿宋" w:hAnsi="仿宋" w:hint="eastAsia"/>
          <w:sz w:val="24"/>
          <w:szCs w:val="24"/>
        </w:rPr>
        <w:t>业发展水平、提升乡村建设水平、提升乡村治理水平为重点，强化科技和改革双轮驱动，强化农民增收举措，打好乡村全面振兴漂亮仗。</w:t>
      </w:r>
    </w:p>
    <w:p w14:paraId="03846AB5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中共中央政治局就扎实推进高质量发展进行第十一次集体学习，要求加快发展新质生产力，扎实推进高质量发展。</w:t>
      </w:r>
      <w:r>
        <w:rPr>
          <w:rFonts w:ascii="仿宋" w:eastAsia="仿宋" w:hAnsi="仿宋" w:hint="eastAsia"/>
          <w:sz w:val="24"/>
          <w:szCs w:val="24"/>
        </w:rPr>
        <w:t>要围绕发展新质生产力布局</w:t>
      </w:r>
      <w:r>
        <w:rPr>
          <w:rFonts w:ascii="仿宋" w:eastAsia="仿宋" w:hAnsi="仿宋"/>
          <w:sz w:val="24"/>
          <w:szCs w:val="24"/>
        </w:rPr>
        <w:t>产业链</w:t>
      </w:r>
      <w:r>
        <w:rPr>
          <w:rFonts w:ascii="仿宋" w:eastAsia="仿宋" w:hAnsi="仿宋" w:hint="eastAsia"/>
          <w:sz w:val="24"/>
          <w:szCs w:val="24"/>
        </w:rPr>
        <w:t>，提升</w:t>
      </w:r>
      <w:r>
        <w:rPr>
          <w:rFonts w:ascii="仿宋" w:eastAsia="仿宋" w:hAnsi="仿宋"/>
          <w:sz w:val="24"/>
          <w:szCs w:val="24"/>
        </w:rPr>
        <w:t>产业链</w:t>
      </w:r>
      <w:r>
        <w:rPr>
          <w:rFonts w:ascii="仿宋" w:eastAsia="仿宋" w:hAnsi="仿宋" w:hint="eastAsia"/>
          <w:sz w:val="24"/>
          <w:szCs w:val="24"/>
        </w:rPr>
        <w:t>供应链韧性和安全水平，保证产业体系自主可控、安全可靠。要围绕推进新型工业化和加快建设制造强国、质量强国、网络强国、数字中国和农业强国等战略任务，科学布局科技创新、产业创新。要大力发展数字经济，促进数字经济和实体经济深度融合，打造具有国际竞争力的数字</w:t>
      </w:r>
      <w:r>
        <w:rPr>
          <w:rFonts w:ascii="仿宋" w:eastAsia="仿宋" w:hAnsi="仿宋" w:hint="eastAsia"/>
          <w:sz w:val="24"/>
          <w:szCs w:val="24"/>
        </w:rPr>
        <w:t>产业集群。</w:t>
      </w:r>
    </w:p>
    <w:p w14:paraId="09FE4B6B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国务院总理李强在陕西调研时强调，要以科技创新推动产业创新，加快培育和发展新质生产力，更好带动和促进经济转型升级。</w:t>
      </w:r>
      <w:r>
        <w:rPr>
          <w:rFonts w:ascii="仿宋" w:eastAsia="仿宋" w:hAnsi="仿宋" w:hint="eastAsia"/>
          <w:sz w:val="24"/>
          <w:szCs w:val="24"/>
        </w:rPr>
        <w:t>制造业企业要在激烈的市场竞争中站稳脚跟，一定要在研发投入上舍得下本钱，希望企业努力在技术上形成自己的特色和优势，在追赶世界一流水平中实现跨越发展。</w:t>
      </w:r>
    </w:p>
    <w:p w14:paraId="7B9FFB0B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国务院国资委印发《关于优化中央企业资产评估管理有关事项的通知》。</w:t>
      </w:r>
      <w:r>
        <w:rPr>
          <w:rFonts w:ascii="仿宋" w:eastAsia="仿宋" w:hAnsi="仿宋" w:hint="eastAsia"/>
          <w:sz w:val="24"/>
          <w:szCs w:val="24"/>
        </w:rPr>
        <w:t>首次提出中央企业应当对资产评估项目实施分类管理，要求中央企业确定重大资产评估项目划分标准，对重大资产评估项目管理提出一系列有针对性的管控要求。</w:t>
      </w:r>
    </w:p>
    <w:p w14:paraId="436ED785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2024</w:t>
      </w:r>
      <w:r>
        <w:rPr>
          <w:rFonts w:ascii="仿宋" w:eastAsia="仿宋" w:hAnsi="仿宋" w:hint="eastAsia"/>
          <w:b/>
          <w:sz w:val="24"/>
          <w:szCs w:val="24"/>
        </w:rPr>
        <w:t>年，</w:t>
      </w:r>
      <w:r>
        <w:rPr>
          <w:rFonts w:ascii="仿宋" w:eastAsia="仿宋" w:hAnsi="仿宋"/>
          <w:b/>
          <w:sz w:val="24"/>
          <w:szCs w:val="24"/>
        </w:rPr>
        <w:t>国务院国资委</w:t>
      </w:r>
      <w:r>
        <w:rPr>
          <w:rFonts w:ascii="仿宋" w:eastAsia="仿宋" w:hAnsi="仿宋" w:hint="eastAsia"/>
          <w:b/>
          <w:sz w:val="24"/>
          <w:szCs w:val="24"/>
        </w:rPr>
        <w:t>将对中央企业全面实施“一企一策”考核。</w:t>
      </w:r>
      <w:r>
        <w:rPr>
          <w:rFonts w:ascii="仿宋" w:eastAsia="仿宋" w:hAnsi="仿宋" w:hint="eastAsia"/>
          <w:sz w:val="24"/>
          <w:szCs w:val="24"/>
        </w:rPr>
        <w:t>统筹共性量化指标与个体企业差异性，根据企业功能定位、行业特点、承担重大任务等情况，增加反映价值创造能力的针对性考核指标，“一企一策”签订个性化经营业绩责任书，引导企业努力实现高质量发展。</w:t>
      </w:r>
      <w:r>
        <w:rPr>
          <w:rFonts w:ascii="仿宋" w:eastAsia="仿宋" w:hAnsi="仿宋"/>
          <w:sz w:val="24"/>
          <w:szCs w:val="24"/>
        </w:rPr>
        <w:t>国务院国资委</w:t>
      </w:r>
      <w:r>
        <w:rPr>
          <w:rFonts w:ascii="仿宋" w:eastAsia="仿宋" w:hAnsi="仿宋" w:hint="eastAsia"/>
          <w:sz w:val="24"/>
          <w:szCs w:val="24"/>
        </w:rPr>
        <w:t>将建立考核“双加分”机制——分档设置效益指标考核目标，对跑赢国民经济增速的企业给予考核加分，同步设立提质增效特别奖，对作出突出贡献的企业再给予额外加分，引导央企积极确定挑战性目标。</w:t>
      </w:r>
      <w:r>
        <w:rPr>
          <w:rFonts w:ascii="仿宋" w:eastAsia="仿宋" w:hAnsi="仿宋"/>
          <w:sz w:val="24"/>
          <w:szCs w:val="24"/>
        </w:rPr>
        <w:t>国务院国资委</w:t>
      </w:r>
      <w:r>
        <w:rPr>
          <w:rFonts w:ascii="仿宋" w:eastAsia="仿宋" w:hAnsi="仿宋" w:hint="eastAsia"/>
          <w:sz w:val="24"/>
          <w:szCs w:val="24"/>
        </w:rPr>
        <w:t>还将探索将品牌价值纳入考核。</w:t>
      </w:r>
    </w:p>
    <w:p w14:paraId="0E4EF358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国务院副总理何立峰部署走访上市公司工作、推动上市公司高</w:t>
      </w:r>
      <w:r>
        <w:rPr>
          <w:rFonts w:ascii="仿宋" w:eastAsia="仿宋" w:hAnsi="仿宋" w:hint="eastAsia"/>
          <w:b/>
          <w:sz w:val="24"/>
          <w:szCs w:val="24"/>
        </w:rPr>
        <w:t>质量发展全国视频会议。</w:t>
      </w:r>
      <w:r>
        <w:rPr>
          <w:rFonts w:ascii="仿宋" w:eastAsia="仿宋" w:hAnsi="仿宋" w:hint="eastAsia"/>
          <w:sz w:val="24"/>
          <w:szCs w:val="24"/>
        </w:rPr>
        <w:t>会上强调，要认真解决上市公司发展中面临的具体困难和问题，加大对优质上市公司支持力度，以推动上市公司高质量发展助力信心提振、资本市场稳定和经济高质量发展；要把推动上市公司业绩改善和投资意愿修复作为推动经济稳中求进、以进促稳、先立后破的重要举措；各地要抓紧建立并高效运转城市房地产融资协调机制，坚决防止出现新的违规挪用预售资金情况。</w:t>
      </w:r>
    </w:p>
    <w:p w14:paraId="05DA2B46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证监会进一步优化融券机制。</w:t>
      </w:r>
      <w:r>
        <w:rPr>
          <w:rFonts w:ascii="仿宋" w:eastAsia="仿宋" w:hAnsi="仿宋" w:hint="eastAsia"/>
          <w:sz w:val="24"/>
          <w:szCs w:val="24"/>
        </w:rPr>
        <w:t>具体包括：一是全面暂停限售股出借；二是将转融券市场化约定申报由实时可用调整为次日可用，对融券效率进行限制。因涉及系统调整等因素，第一项</w:t>
      </w:r>
      <w:r>
        <w:rPr>
          <w:rFonts w:ascii="仿宋" w:eastAsia="仿宋" w:hAnsi="仿宋" w:hint="eastAsia"/>
          <w:sz w:val="24"/>
          <w:szCs w:val="24"/>
        </w:rPr>
        <w:t>措施自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29</w:t>
      </w:r>
      <w:r>
        <w:rPr>
          <w:rFonts w:ascii="仿宋" w:eastAsia="仿宋" w:hAnsi="仿宋" w:hint="eastAsia"/>
          <w:sz w:val="24"/>
          <w:szCs w:val="24"/>
        </w:rPr>
        <w:t>日起实施，第二项措施自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18</w:t>
      </w:r>
      <w:r>
        <w:rPr>
          <w:rFonts w:ascii="仿宋" w:eastAsia="仿宋" w:hAnsi="仿宋" w:hint="eastAsia"/>
          <w:sz w:val="24"/>
          <w:szCs w:val="24"/>
        </w:rPr>
        <w:t>日起实施。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据</w:t>
      </w:r>
      <w:r>
        <w:rPr>
          <w:rFonts w:ascii="仿宋" w:eastAsia="仿宋" w:hAnsi="仿宋"/>
          <w:sz w:val="24"/>
          <w:szCs w:val="24"/>
        </w:rPr>
        <w:t>中国证券报</w:t>
      </w:r>
      <w:r>
        <w:rPr>
          <w:rFonts w:ascii="仿宋" w:eastAsia="仿宋" w:hAnsi="仿宋" w:hint="eastAsia"/>
          <w:sz w:val="24"/>
          <w:szCs w:val="24"/>
        </w:rPr>
        <w:t>，此次进一步优化融券机制，加强对限售股出借的监管，是</w:t>
      </w:r>
      <w:r>
        <w:rPr>
          <w:rFonts w:ascii="仿宋" w:eastAsia="仿宋" w:hAnsi="仿宋"/>
          <w:sz w:val="24"/>
          <w:szCs w:val="24"/>
        </w:rPr>
        <w:t>证监会</w:t>
      </w:r>
      <w:r>
        <w:rPr>
          <w:rFonts w:ascii="仿宋" w:eastAsia="仿宋" w:hAnsi="仿宋" w:hint="eastAsia"/>
          <w:sz w:val="24"/>
          <w:szCs w:val="24"/>
        </w:rPr>
        <w:t>经过充分论证评估后采取的举措。在业内人士看来，此次融券规则调整，重点回应投资者关心的限售股出借等问题，进一步健全</w:t>
      </w:r>
      <w:r>
        <w:rPr>
          <w:rFonts w:ascii="仿宋" w:eastAsia="仿宋" w:hAnsi="仿宋"/>
          <w:sz w:val="24"/>
          <w:szCs w:val="24"/>
        </w:rPr>
        <w:t>融资融券</w:t>
      </w:r>
      <w:r>
        <w:rPr>
          <w:rFonts w:ascii="仿宋" w:eastAsia="仿宋" w:hAnsi="仿宋" w:hint="eastAsia"/>
          <w:sz w:val="24"/>
          <w:szCs w:val="24"/>
        </w:rPr>
        <w:t>制度，充分体现以投资者为本的理念。</w:t>
      </w:r>
    </w:p>
    <w:p w14:paraId="1DBAC7AA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sz w:val="24"/>
          <w:szCs w:val="24"/>
        </w:rPr>
        <w:t>（二）海外宏观</w:t>
      </w:r>
    </w:p>
    <w:p w14:paraId="218A972E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美国</w:t>
      </w:r>
      <w:r>
        <w:rPr>
          <w:rFonts w:ascii="仿宋" w:eastAsia="仿宋" w:hAnsi="仿宋" w:hint="eastAsia"/>
          <w:b/>
          <w:sz w:val="24"/>
          <w:szCs w:val="24"/>
        </w:rPr>
        <w:t>1</w:t>
      </w:r>
      <w:r>
        <w:rPr>
          <w:rFonts w:ascii="仿宋" w:eastAsia="仿宋" w:hAnsi="仿宋" w:hint="eastAsia"/>
          <w:b/>
          <w:sz w:val="24"/>
          <w:szCs w:val="24"/>
        </w:rPr>
        <w:t>月非农报告远超预期。</w:t>
      </w:r>
      <w:r>
        <w:rPr>
          <w:rFonts w:ascii="仿宋" w:eastAsia="仿宋" w:hAnsi="仿宋" w:hint="eastAsia"/>
          <w:sz w:val="24"/>
          <w:szCs w:val="24"/>
        </w:rPr>
        <w:t>美国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月非农就业人口增加</w:t>
      </w:r>
      <w:r>
        <w:rPr>
          <w:rFonts w:ascii="仿宋" w:eastAsia="仿宋" w:hAnsi="仿宋" w:hint="eastAsia"/>
          <w:sz w:val="24"/>
          <w:szCs w:val="24"/>
        </w:rPr>
        <w:t>35.3</w:t>
      </w:r>
      <w:r>
        <w:rPr>
          <w:rFonts w:ascii="仿宋" w:eastAsia="仿宋" w:hAnsi="仿宋" w:hint="eastAsia"/>
          <w:sz w:val="24"/>
          <w:szCs w:val="24"/>
        </w:rPr>
        <w:t>万人，为</w:t>
      </w:r>
      <w:r>
        <w:rPr>
          <w:rFonts w:ascii="仿宋" w:eastAsia="仿宋" w:hAnsi="仿宋" w:hint="eastAsia"/>
          <w:sz w:val="24"/>
          <w:szCs w:val="24"/>
        </w:rPr>
        <w:t>2023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月以来最大增幅，远高于市场预期的</w:t>
      </w:r>
      <w:r>
        <w:rPr>
          <w:rFonts w:ascii="仿宋" w:eastAsia="仿宋" w:hAnsi="仿宋" w:hint="eastAsia"/>
          <w:sz w:val="24"/>
          <w:szCs w:val="24"/>
        </w:rPr>
        <w:t>18</w:t>
      </w:r>
      <w:r>
        <w:rPr>
          <w:rFonts w:ascii="仿宋" w:eastAsia="仿宋" w:hAnsi="仿宋" w:hint="eastAsia"/>
          <w:sz w:val="24"/>
          <w:szCs w:val="24"/>
        </w:rPr>
        <w:t>万人，去年</w:t>
      </w:r>
      <w:r>
        <w:rPr>
          <w:rFonts w:ascii="仿宋" w:eastAsia="仿宋" w:hAnsi="仿宋" w:hint="eastAsia"/>
          <w:sz w:val="24"/>
          <w:szCs w:val="24"/>
        </w:rPr>
        <w:t>12</w:t>
      </w:r>
      <w:r>
        <w:rPr>
          <w:rFonts w:ascii="仿宋" w:eastAsia="仿宋" w:hAnsi="仿宋" w:hint="eastAsia"/>
          <w:sz w:val="24"/>
          <w:szCs w:val="24"/>
        </w:rPr>
        <w:t>月就业人数也从</w:t>
      </w:r>
      <w:r>
        <w:rPr>
          <w:rFonts w:ascii="仿宋" w:eastAsia="仿宋" w:hAnsi="仿宋" w:hint="eastAsia"/>
          <w:sz w:val="24"/>
          <w:szCs w:val="24"/>
        </w:rPr>
        <w:t>21.6</w:t>
      </w:r>
      <w:r>
        <w:rPr>
          <w:rFonts w:ascii="仿宋" w:eastAsia="仿宋" w:hAnsi="仿宋" w:hint="eastAsia"/>
          <w:sz w:val="24"/>
          <w:szCs w:val="24"/>
        </w:rPr>
        <w:t>万大幅上修至</w:t>
      </w:r>
      <w:r>
        <w:rPr>
          <w:rFonts w:ascii="仿宋" w:eastAsia="仿宋" w:hAnsi="仿宋" w:hint="eastAsia"/>
          <w:sz w:val="24"/>
          <w:szCs w:val="24"/>
        </w:rPr>
        <w:t>33.3</w:t>
      </w:r>
      <w:r>
        <w:rPr>
          <w:rFonts w:ascii="仿宋" w:eastAsia="仿宋" w:hAnsi="仿宋" w:hint="eastAsia"/>
          <w:sz w:val="24"/>
          <w:szCs w:val="24"/>
        </w:rPr>
        <w:t>万人。工资同比增速达到</w:t>
      </w:r>
      <w:r>
        <w:rPr>
          <w:rFonts w:ascii="仿宋" w:eastAsia="仿宋" w:hAnsi="仿宋" w:hint="eastAsia"/>
          <w:sz w:val="24"/>
          <w:szCs w:val="24"/>
        </w:rPr>
        <w:t>4.5%</w:t>
      </w:r>
      <w:r>
        <w:rPr>
          <w:rFonts w:ascii="仿宋" w:eastAsia="仿宋" w:hAnsi="仿宋" w:hint="eastAsia"/>
          <w:sz w:val="24"/>
          <w:szCs w:val="24"/>
        </w:rPr>
        <w:t>，高于预期的</w:t>
      </w: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.1%</w:t>
      </w:r>
      <w:r>
        <w:rPr>
          <w:rFonts w:ascii="仿宋" w:eastAsia="仿宋" w:hAnsi="仿宋" w:hint="eastAsia"/>
          <w:sz w:val="24"/>
          <w:szCs w:val="24"/>
        </w:rPr>
        <w:t>，创</w:t>
      </w:r>
      <w:r>
        <w:rPr>
          <w:rFonts w:ascii="仿宋" w:eastAsia="仿宋" w:hAnsi="仿宋" w:hint="eastAsia"/>
          <w:sz w:val="24"/>
          <w:szCs w:val="24"/>
        </w:rPr>
        <w:t>2022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月以来最高。失业率连续第三个月持平于</w:t>
      </w:r>
      <w:r>
        <w:rPr>
          <w:rFonts w:ascii="仿宋" w:eastAsia="仿宋" w:hAnsi="仿宋" w:hint="eastAsia"/>
          <w:sz w:val="24"/>
          <w:szCs w:val="24"/>
        </w:rPr>
        <w:t>3.7%</w:t>
      </w:r>
      <w:r>
        <w:rPr>
          <w:rFonts w:ascii="仿宋" w:eastAsia="仿宋" w:hAnsi="仿宋" w:hint="eastAsia"/>
          <w:sz w:val="24"/>
          <w:szCs w:val="24"/>
        </w:rPr>
        <w:t>。非农数据发布后，交易员押注美联储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月份降息的几率下降至</w:t>
      </w:r>
      <w:r>
        <w:rPr>
          <w:rFonts w:ascii="仿宋" w:eastAsia="仿宋" w:hAnsi="仿宋" w:hint="eastAsia"/>
          <w:sz w:val="24"/>
          <w:szCs w:val="24"/>
        </w:rPr>
        <w:t>20%</w:t>
      </w:r>
      <w:r>
        <w:rPr>
          <w:rFonts w:ascii="仿宋" w:eastAsia="仿宋" w:hAnsi="仿宋" w:hint="eastAsia"/>
          <w:sz w:val="24"/>
          <w:szCs w:val="24"/>
        </w:rPr>
        <w:t>左右。</w:t>
      </w:r>
    </w:p>
    <w:p w14:paraId="5CD6920E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美上周初请失业金人数意外上升，劳动力市场再添降温迹象。</w:t>
      </w:r>
      <w:r>
        <w:rPr>
          <w:rFonts w:ascii="仿宋" w:eastAsia="仿宋" w:hAnsi="仿宋" w:hint="eastAsia"/>
          <w:sz w:val="24"/>
          <w:szCs w:val="24"/>
        </w:rPr>
        <w:t>美国上周初请失业金人数为</w:t>
      </w:r>
      <w:r>
        <w:rPr>
          <w:rFonts w:ascii="仿宋" w:eastAsia="仿宋" w:hAnsi="仿宋" w:hint="eastAsia"/>
          <w:sz w:val="24"/>
          <w:szCs w:val="24"/>
        </w:rPr>
        <w:t>22.4</w:t>
      </w:r>
      <w:r>
        <w:rPr>
          <w:rFonts w:ascii="仿宋" w:eastAsia="仿宋" w:hAnsi="仿宋" w:hint="eastAsia"/>
          <w:sz w:val="24"/>
          <w:szCs w:val="24"/>
        </w:rPr>
        <w:t>万人，预期</w:t>
      </w:r>
      <w:r>
        <w:rPr>
          <w:rFonts w:ascii="仿宋" w:eastAsia="仿宋" w:hAnsi="仿宋" w:hint="eastAsia"/>
          <w:sz w:val="24"/>
          <w:szCs w:val="24"/>
        </w:rPr>
        <w:t>21.2</w:t>
      </w:r>
      <w:r>
        <w:rPr>
          <w:rFonts w:ascii="仿宋" w:eastAsia="仿宋" w:hAnsi="仿宋" w:hint="eastAsia"/>
          <w:sz w:val="24"/>
          <w:szCs w:val="24"/>
        </w:rPr>
        <w:t>万人，前值自</w:t>
      </w:r>
      <w:r>
        <w:rPr>
          <w:rFonts w:ascii="仿宋" w:eastAsia="仿宋" w:hAnsi="仿宋" w:hint="eastAsia"/>
          <w:sz w:val="24"/>
          <w:szCs w:val="24"/>
        </w:rPr>
        <w:t>21.4</w:t>
      </w:r>
      <w:r>
        <w:rPr>
          <w:rFonts w:ascii="仿宋" w:eastAsia="仿宋" w:hAnsi="仿宋" w:hint="eastAsia"/>
          <w:sz w:val="24"/>
          <w:szCs w:val="24"/>
        </w:rPr>
        <w:t>万人修正至</w:t>
      </w:r>
      <w:r>
        <w:rPr>
          <w:rFonts w:ascii="仿宋" w:eastAsia="仿宋" w:hAnsi="仿宋" w:hint="eastAsia"/>
          <w:sz w:val="24"/>
          <w:szCs w:val="24"/>
        </w:rPr>
        <w:t>21.5</w:t>
      </w:r>
      <w:r>
        <w:rPr>
          <w:rFonts w:ascii="仿宋" w:eastAsia="仿宋" w:hAnsi="仿宋" w:hint="eastAsia"/>
          <w:sz w:val="24"/>
          <w:szCs w:val="24"/>
        </w:rPr>
        <w:t>万人；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20</w:t>
      </w:r>
      <w:r>
        <w:rPr>
          <w:rFonts w:ascii="仿宋" w:eastAsia="仿宋" w:hAnsi="仿宋" w:hint="eastAsia"/>
          <w:sz w:val="24"/>
          <w:szCs w:val="24"/>
        </w:rPr>
        <w:t>日</w:t>
      </w:r>
      <w:r>
        <w:rPr>
          <w:rFonts w:ascii="仿宋" w:eastAsia="仿宋" w:hAnsi="仿宋"/>
          <w:sz w:val="24"/>
          <w:szCs w:val="24"/>
        </w:rPr>
        <w:t>当周续请失业金人数</w:t>
      </w:r>
      <w:r>
        <w:rPr>
          <w:rFonts w:ascii="仿宋" w:eastAsia="仿宋" w:hAnsi="仿宋" w:hint="eastAsia"/>
          <w:sz w:val="24"/>
          <w:szCs w:val="24"/>
        </w:rPr>
        <w:t>189.8</w:t>
      </w:r>
      <w:r>
        <w:rPr>
          <w:rFonts w:ascii="仿宋" w:eastAsia="仿宋" w:hAnsi="仿宋" w:hint="eastAsia"/>
          <w:sz w:val="24"/>
          <w:szCs w:val="24"/>
        </w:rPr>
        <w:t>万人，预期</w:t>
      </w:r>
      <w:r>
        <w:rPr>
          <w:rFonts w:ascii="仿宋" w:eastAsia="仿宋" w:hAnsi="仿宋" w:hint="eastAsia"/>
          <w:sz w:val="24"/>
          <w:szCs w:val="24"/>
        </w:rPr>
        <w:t>184</w:t>
      </w:r>
      <w:r>
        <w:rPr>
          <w:rFonts w:ascii="仿宋" w:eastAsia="仿宋" w:hAnsi="仿宋" w:hint="eastAsia"/>
          <w:sz w:val="24"/>
          <w:szCs w:val="24"/>
        </w:rPr>
        <w:t>万人，前值自</w:t>
      </w:r>
      <w:r>
        <w:rPr>
          <w:rFonts w:ascii="仿宋" w:eastAsia="仿宋" w:hAnsi="仿宋" w:hint="eastAsia"/>
          <w:sz w:val="24"/>
          <w:szCs w:val="24"/>
        </w:rPr>
        <w:t>183.3</w:t>
      </w:r>
      <w:r>
        <w:rPr>
          <w:rFonts w:ascii="仿宋" w:eastAsia="仿宋" w:hAnsi="仿宋" w:hint="eastAsia"/>
          <w:sz w:val="24"/>
          <w:szCs w:val="24"/>
        </w:rPr>
        <w:t>万人修正至</w:t>
      </w:r>
      <w:r>
        <w:rPr>
          <w:rFonts w:ascii="仿宋" w:eastAsia="仿宋" w:hAnsi="仿宋" w:hint="eastAsia"/>
          <w:sz w:val="24"/>
          <w:szCs w:val="24"/>
        </w:rPr>
        <w:t>182.8</w:t>
      </w:r>
      <w:r>
        <w:rPr>
          <w:rFonts w:ascii="仿宋" w:eastAsia="仿宋" w:hAnsi="仿宋" w:hint="eastAsia"/>
          <w:sz w:val="24"/>
          <w:szCs w:val="24"/>
        </w:rPr>
        <w:t>万人。</w:t>
      </w:r>
    </w:p>
    <w:p w14:paraId="2EAE14D4" w14:textId="77777777" w:rsidR="000629FB" w:rsidRDefault="003020C5">
      <w:pPr>
        <w:spacing w:line="360" w:lineRule="auto"/>
        <w:ind w:firstLineChars="200" w:firstLine="420"/>
        <w:rPr>
          <w:rFonts w:ascii="仿宋" w:eastAsia="仿宋" w:hAnsi="仿宋"/>
          <w:sz w:val="24"/>
          <w:szCs w:val="24"/>
        </w:rPr>
      </w:pPr>
      <w:hyperlink r:id="rId9" w:tgtFrame="_blank" w:history="1">
        <w:r>
          <w:rPr>
            <w:rFonts w:ascii="仿宋" w:eastAsia="仿宋" w:hAnsi="仿宋"/>
            <w:b/>
            <w:sz w:val="24"/>
            <w:szCs w:val="24"/>
          </w:rPr>
          <w:t>欧洲央行</w:t>
        </w:r>
      </w:hyperlink>
      <w:r>
        <w:rPr>
          <w:rFonts w:ascii="仿宋" w:eastAsia="仿宋" w:hAnsi="仿宋"/>
          <w:b/>
          <w:sz w:val="24"/>
          <w:szCs w:val="24"/>
        </w:rPr>
        <w:t>管委森</w:t>
      </w:r>
      <w:proofErr w:type="gramStart"/>
      <w:r>
        <w:rPr>
          <w:rFonts w:ascii="仿宋" w:eastAsia="仿宋" w:hAnsi="仿宋"/>
          <w:b/>
          <w:sz w:val="24"/>
          <w:szCs w:val="24"/>
        </w:rPr>
        <w:t>特</w:t>
      </w:r>
      <w:proofErr w:type="gramEnd"/>
      <w:r>
        <w:rPr>
          <w:rFonts w:ascii="仿宋" w:eastAsia="仿宋" w:hAnsi="仿宋"/>
          <w:b/>
          <w:sz w:val="24"/>
          <w:szCs w:val="24"/>
        </w:rPr>
        <w:t>诺：如果通胀在未来几个月继续按照同样的轨迹发展，预计欧洲央行的下一步决策将是降息。</w:t>
      </w:r>
      <w:r>
        <w:rPr>
          <w:rFonts w:ascii="仿宋" w:eastAsia="仿宋" w:hAnsi="仿宋" w:hint="eastAsia"/>
          <w:sz w:val="24"/>
          <w:szCs w:val="24"/>
        </w:rPr>
        <w:t>欧洲央行管委森特诺表示，通胀正在趋于</w:t>
      </w:r>
      <w:r>
        <w:rPr>
          <w:rFonts w:ascii="仿宋" w:eastAsia="仿宋" w:hAnsi="仿宋" w:hint="eastAsia"/>
          <w:sz w:val="24"/>
          <w:szCs w:val="24"/>
        </w:rPr>
        <w:t>2%</w:t>
      </w:r>
      <w:r>
        <w:rPr>
          <w:rFonts w:ascii="仿宋" w:eastAsia="仿宋" w:hAnsi="仿宋" w:hint="eastAsia"/>
          <w:sz w:val="24"/>
          <w:szCs w:val="24"/>
        </w:rPr>
        <w:t>；如果通胀在未来几个月继续按照同样轨迹发展，预计欧洲央行下一步决策将是降息；如果发生这种情况，可以开</w:t>
      </w:r>
      <w:r>
        <w:rPr>
          <w:rFonts w:ascii="仿宋" w:eastAsia="仿宋" w:hAnsi="仿宋" w:hint="eastAsia"/>
          <w:sz w:val="24"/>
          <w:szCs w:val="24"/>
        </w:rPr>
        <w:lastRenderedPageBreak/>
        <w:t>始利率正常化周期。</w:t>
      </w:r>
    </w:p>
    <w:p w14:paraId="6761D883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美联储将联邦基金利率的目标区间保持在</w:t>
      </w:r>
      <w:r>
        <w:rPr>
          <w:rFonts w:ascii="仿宋" w:eastAsia="仿宋" w:hAnsi="仿宋" w:hint="eastAsia"/>
          <w:b/>
          <w:sz w:val="24"/>
          <w:szCs w:val="24"/>
        </w:rPr>
        <w:t>5.25%</w:t>
      </w:r>
      <w:r>
        <w:rPr>
          <w:rFonts w:ascii="仿宋" w:eastAsia="仿宋" w:hAnsi="仿宋" w:hint="eastAsia"/>
          <w:b/>
          <w:sz w:val="24"/>
          <w:szCs w:val="24"/>
        </w:rPr>
        <w:t>到</w:t>
      </w:r>
      <w:r>
        <w:rPr>
          <w:rFonts w:ascii="仿宋" w:eastAsia="仿宋" w:hAnsi="仿宋" w:hint="eastAsia"/>
          <w:b/>
          <w:sz w:val="24"/>
          <w:szCs w:val="24"/>
        </w:rPr>
        <w:t>5.50%</w:t>
      </w:r>
      <w:r>
        <w:rPr>
          <w:rFonts w:ascii="仿宋" w:eastAsia="仿宋" w:hAnsi="仿宋" w:hint="eastAsia"/>
          <w:b/>
          <w:sz w:val="24"/>
          <w:szCs w:val="24"/>
        </w:rPr>
        <w:t>，符合市场预期。</w:t>
      </w:r>
      <w:r>
        <w:rPr>
          <w:rFonts w:ascii="仿宋" w:eastAsia="仿宋" w:hAnsi="仿宋" w:hint="eastAsia"/>
          <w:sz w:val="24"/>
          <w:szCs w:val="24"/>
        </w:rPr>
        <w:t>自</w:t>
      </w:r>
      <w:r>
        <w:rPr>
          <w:rFonts w:ascii="仿宋" w:eastAsia="仿宋" w:hAnsi="仿宋" w:hint="eastAsia"/>
          <w:sz w:val="24"/>
          <w:szCs w:val="24"/>
        </w:rPr>
        <w:t>2023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月加息后，美联储的政策利率一直维持在二十二年来高位。本次声明删除了暗示未来进一步加息的措辞，称美联储预计，在对通胀降至目标更有信心以前，不适合降息。</w:t>
      </w:r>
    </w:p>
    <w:p w14:paraId="2FBC0F14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鲍威尔：</w:t>
      </w:r>
      <w:r>
        <w:rPr>
          <w:rFonts w:ascii="仿宋" w:eastAsia="仿宋" w:hAnsi="仿宋" w:hint="eastAsia"/>
          <w:b/>
          <w:bCs/>
          <w:sz w:val="24"/>
          <w:szCs w:val="24"/>
        </w:rPr>
        <w:t>3</w:t>
      </w:r>
      <w:r>
        <w:rPr>
          <w:rFonts w:ascii="仿宋" w:eastAsia="仿宋" w:hAnsi="仿宋" w:hint="eastAsia"/>
          <w:b/>
          <w:bCs/>
          <w:sz w:val="24"/>
          <w:szCs w:val="24"/>
        </w:rPr>
        <w:t>月不太</w:t>
      </w:r>
      <w:r>
        <w:rPr>
          <w:rFonts w:ascii="仿宋" w:eastAsia="仿宋" w:hAnsi="仿宋" w:hint="eastAsia"/>
          <w:b/>
          <w:bCs/>
          <w:sz w:val="24"/>
          <w:szCs w:val="24"/>
        </w:rPr>
        <w:t>可能降息。</w:t>
      </w:r>
      <w:r>
        <w:rPr>
          <w:rFonts w:ascii="仿宋" w:eastAsia="仿宋" w:hAnsi="仿宋" w:hint="eastAsia"/>
          <w:sz w:val="24"/>
          <w:szCs w:val="24"/>
        </w:rPr>
        <w:t>美联储主席鲍威尔表示，</w:t>
      </w:r>
      <w:r>
        <w:rPr>
          <w:rFonts w:ascii="仿宋" w:eastAsia="仿宋" w:hAnsi="仿宋" w:hint="eastAsia"/>
          <w:sz w:val="24"/>
          <w:szCs w:val="24"/>
        </w:rPr>
        <w:t>FOMC</w:t>
      </w:r>
      <w:r>
        <w:rPr>
          <w:rFonts w:ascii="仿宋" w:eastAsia="仿宋" w:hAnsi="仿宋" w:hint="eastAsia"/>
          <w:sz w:val="24"/>
          <w:szCs w:val="24"/>
        </w:rPr>
        <w:t>利率可能处于本轮周期的峰值，但还需更多证据证明通胀已被遏制，多数委员预计今年可能降息多次，但并不认为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月就会启动降息，计划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月份开始深入讨论资产负债表问题。鲍威尔讲话后，美元上涨，美股跌幅扩大，黄金走低。</w:t>
      </w:r>
    </w:p>
    <w:p w14:paraId="5C9B44E9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IMF</w:t>
      </w:r>
      <w:r>
        <w:rPr>
          <w:rFonts w:ascii="仿宋" w:eastAsia="仿宋" w:hAnsi="仿宋" w:hint="eastAsia"/>
          <w:b/>
          <w:bCs/>
          <w:sz w:val="24"/>
          <w:szCs w:val="24"/>
        </w:rPr>
        <w:t>上调今年全球经济增长预期。</w:t>
      </w:r>
      <w:r>
        <w:rPr>
          <w:rFonts w:ascii="仿宋" w:eastAsia="仿宋" w:hAnsi="仿宋" w:hint="eastAsia"/>
          <w:sz w:val="24"/>
          <w:szCs w:val="24"/>
        </w:rPr>
        <w:t>国际货币基金组织（</w:t>
      </w:r>
      <w:r>
        <w:rPr>
          <w:rFonts w:ascii="仿宋" w:eastAsia="仿宋" w:hAnsi="仿宋" w:hint="eastAsia"/>
          <w:sz w:val="24"/>
          <w:szCs w:val="24"/>
        </w:rPr>
        <w:t>IMF</w:t>
      </w:r>
      <w:r>
        <w:rPr>
          <w:rFonts w:ascii="仿宋" w:eastAsia="仿宋" w:hAnsi="仿宋" w:hint="eastAsia"/>
          <w:sz w:val="24"/>
          <w:szCs w:val="24"/>
        </w:rPr>
        <w:t>）将今年全球经济增长预期上调至</w:t>
      </w:r>
      <w:r>
        <w:rPr>
          <w:rFonts w:ascii="仿宋" w:eastAsia="仿宋" w:hAnsi="仿宋" w:hint="eastAsia"/>
          <w:sz w:val="24"/>
          <w:szCs w:val="24"/>
        </w:rPr>
        <w:t>3.1%</w:t>
      </w:r>
      <w:r>
        <w:rPr>
          <w:rFonts w:ascii="仿宋" w:eastAsia="仿宋" w:hAnsi="仿宋" w:hint="eastAsia"/>
          <w:sz w:val="24"/>
          <w:szCs w:val="24"/>
        </w:rPr>
        <w:t>，较去年</w:t>
      </w:r>
      <w:r>
        <w:rPr>
          <w:rFonts w:ascii="仿宋" w:eastAsia="仿宋" w:hAnsi="仿宋" w:hint="eastAsia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月预测值高出</w:t>
      </w:r>
      <w:r>
        <w:rPr>
          <w:rFonts w:ascii="仿宋" w:eastAsia="仿宋" w:hAnsi="仿宋" w:hint="eastAsia"/>
          <w:sz w:val="24"/>
          <w:szCs w:val="24"/>
        </w:rPr>
        <w:t>0.2</w:t>
      </w:r>
      <w:r>
        <w:rPr>
          <w:rFonts w:ascii="仿宋" w:eastAsia="仿宋" w:hAnsi="仿宋" w:hint="eastAsia"/>
          <w:sz w:val="24"/>
          <w:szCs w:val="24"/>
        </w:rPr>
        <w:t>个百分点，预计明年全球经济增速为</w:t>
      </w:r>
      <w:r>
        <w:rPr>
          <w:rFonts w:ascii="仿宋" w:eastAsia="仿宋" w:hAnsi="仿宋" w:hint="eastAsia"/>
          <w:sz w:val="24"/>
          <w:szCs w:val="24"/>
        </w:rPr>
        <w:t>3.2%</w:t>
      </w:r>
      <w:r>
        <w:rPr>
          <w:rFonts w:ascii="仿宋" w:eastAsia="仿宋" w:hAnsi="仿宋" w:hint="eastAsia"/>
          <w:sz w:val="24"/>
          <w:szCs w:val="24"/>
        </w:rPr>
        <w:t>，与前值持平。</w:t>
      </w:r>
      <w:r>
        <w:rPr>
          <w:rFonts w:ascii="仿宋" w:eastAsia="仿宋" w:hAnsi="仿宋" w:hint="eastAsia"/>
          <w:sz w:val="24"/>
          <w:szCs w:val="24"/>
        </w:rPr>
        <w:t>IMF</w:t>
      </w:r>
      <w:r>
        <w:rPr>
          <w:rFonts w:ascii="仿宋" w:eastAsia="仿宋" w:hAnsi="仿宋" w:hint="eastAsia"/>
          <w:sz w:val="24"/>
          <w:szCs w:val="24"/>
        </w:rPr>
        <w:t>预计，中国今明两年经济增速分别为</w:t>
      </w:r>
      <w:r>
        <w:rPr>
          <w:rFonts w:ascii="仿宋" w:eastAsia="仿宋" w:hAnsi="仿宋" w:hint="eastAsia"/>
          <w:sz w:val="24"/>
          <w:szCs w:val="24"/>
        </w:rPr>
        <w:t>4.6%</w:t>
      </w:r>
      <w:r>
        <w:rPr>
          <w:rFonts w:ascii="仿宋" w:eastAsia="仿宋" w:hAnsi="仿宋" w:hint="eastAsia"/>
          <w:sz w:val="24"/>
          <w:szCs w:val="24"/>
        </w:rPr>
        <w:t>和</w:t>
      </w:r>
      <w:r>
        <w:rPr>
          <w:rFonts w:ascii="仿宋" w:eastAsia="仿宋" w:hAnsi="仿宋" w:hint="eastAsia"/>
          <w:sz w:val="24"/>
          <w:szCs w:val="24"/>
        </w:rPr>
        <w:t>4.1%</w:t>
      </w:r>
      <w:r>
        <w:rPr>
          <w:rFonts w:ascii="仿宋" w:eastAsia="仿宋" w:hAnsi="仿宋" w:hint="eastAsia"/>
          <w:sz w:val="24"/>
          <w:szCs w:val="24"/>
        </w:rPr>
        <w:t>，欧元区为</w:t>
      </w:r>
      <w:r>
        <w:rPr>
          <w:rFonts w:ascii="仿宋" w:eastAsia="仿宋" w:hAnsi="仿宋" w:hint="eastAsia"/>
          <w:sz w:val="24"/>
          <w:szCs w:val="24"/>
        </w:rPr>
        <w:t>0.9%</w:t>
      </w:r>
      <w:r>
        <w:rPr>
          <w:rFonts w:ascii="仿宋" w:eastAsia="仿宋" w:hAnsi="仿宋" w:hint="eastAsia"/>
          <w:sz w:val="24"/>
          <w:szCs w:val="24"/>
        </w:rPr>
        <w:t>和</w:t>
      </w:r>
      <w:r>
        <w:rPr>
          <w:rFonts w:ascii="仿宋" w:eastAsia="仿宋" w:hAnsi="仿宋" w:hint="eastAsia"/>
          <w:sz w:val="24"/>
          <w:szCs w:val="24"/>
        </w:rPr>
        <w:t>1.7%</w:t>
      </w:r>
      <w:r>
        <w:rPr>
          <w:rFonts w:ascii="仿宋" w:eastAsia="仿宋" w:hAnsi="仿宋" w:hint="eastAsia"/>
          <w:sz w:val="24"/>
          <w:szCs w:val="24"/>
        </w:rPr>
        <w:t>，美</w:t>
      </w:r>
      <w:r>
        <w:rPr>
          <w:rFonts w:ascii="仿宋" w:eastAsia="仿宋" w:hAnsi="仿宋" w:hint="eastAsia"/>
          <w:sz w:val="24"/>
          <w:szCs w:val="24"/>
        </w:rPr>
        <w:t>国为</w:t>
      </w:r>
      <w:r>
        <w:rPr>
          <w:rFonts w:ascii="仿宋" w:eastAsia="仿宋" w:hAnsi="仿宋" w:hint="eastAsia"/>
          <w:sz w:val="24"/>
          <w:szCs w:val="24"/>
        </w:rPr>
        <w:t>2.1%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1.7%</w:t>
      </w:r>
      <w:r>
        <w:rPr>
          <w:rFonts w:ascii="仿宋" w:eastAsia="仿宋" w:hAnsi="仿宋" w:hint="eastAsia"/>
          <w:sz w:val="24"/>
          <w:szCs w:val="24"/>
        </w:rPr>
        <w:t>，印度均为</w:t>
      </w:r>
      <w:r>
        <w:rPr>
          <w:rFonts w:ascii="仿宋" w:eastAsia="仿宋" w:hAnsi="仿宋" w:hint="eastAsia"/>
          <w:sz w:val="24"/>
          <w:szCs w:val="24"/>
        </w:rPr>
        <w:t>6.5%</w:t>
      </w:r>
      <w:r>
        <w:rPr>
          <w:rFonts w:ascii="仿宋" w:eastAsia="仿宋" w:hAnsi="仿宋" w:hint="eastAsia"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IMF</w:t>
      </w:r>
      <w:r>
        <w:rPr>
          <w:rFonts w:ascii="仿宋" w:eastAsia="仿宋" w:hAnsi="仿宋" w:hint="eastAsia"/>
          <w:sz w:val="24"/>
          <w:szCs w:val="24"/>
        </w:rPr>
        <w:t>预测，美联储、欧央行和英格兰央行政策利率在今年下半年之前将维持当前水平。此后，随着通胀接近目标水平，政策利率将逐渐下行。</w:t>
      </w:r>
      <w:r>
        <w:rPr>
          <w:rFonts w:ascii="仿宋" w:eastAsia="仿宋" w:hAnsi="仿宋"/>
          <w:sz w:val="24"/>
          <w:szCs w:val="24"/>
        </w:rPr>
        <w:t>日本央行</w:t>
      </w:r>
      <w:r>
        <w:rPr>
          <w:rFonts w:ascii="仿宋" w:eastAsia="仿宋" w:hAnsi="仿宋" w:hint="eastAsia"/>
          <w:sz w:val="24"/>
          <w:szCs w:val="24"/>
        </w:rPr>
        <w:t>将维持总体宽松立场。</w:t>
      </w:r>
    </w:p>
    <w:p w14:paraId="4BAF85E5" w14:textId="77777777" w:rsidR="000629FB" w:rsidRDefault="003020C5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三、市场回顾</w:t>
      </w:r>
    </w:p>
    <w:p w14:paraId="27B08792" w14:textId="77777777" w:rsidR="000629FB" w:rsidRDefault="003020C5">
      <w:pPr>
        <w:spacing w:line="360" w:lineRule="auto"/>
        <w:ind w:firstLineChars="200" w:firstLine="482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（一）权益市场</w:t>
      </w:r>
    </w:p>
    <w:p w14:paraId="3A4DBCAA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1</w:t>
      </w:r>
      <w:r>
        <w:rPr>
          <w:rFonts w:ascii="仿宋" w:eastAsia="仿宋" w:hAnsi="仿宋" w:hint="eastAsia"/>
          <w:b/>
          <w:sz w:val="24"/>
          <w:szCs w:val="24"/>
        </w:rPr>
        <w:t>、权益市场走势</w:t>
      </w:r>
    </w:p>
    <w:p w14:paraId="534B8A51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anchor distT="0" distB="0" distL="0" distR="0" simplePos="0" relativeHeight="6" behindDoc="0" locked="0" layoutInCell="1" allowOverlap="1" wp14:anchorId="17FB2455" wp14:editId="18AD7D2A">
            <wp:simplePos x="0" y="0"/>
            <wp:positionH relativeFrom="column">
              <wp:posOffset>221615</wp:posOffset>
            </wp:positionH>
            <wp:positionV relativeFrom="paragraph">
              <wp:posOffset>416560</wp:posOffset>
            </wp:positionV>
            <wp:extent cx="5796280" cy="2670175"/>
            <wp:effectExtent l="0" t="0" r="0" b="0"/>
            <wp:wrapTopAndBottom/>
            <wp:docPr id="1027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579628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szCs w:val="21"/>
        </w:rPr>
        <w:t>图：上周</w:t>
      </w:r>
      <w:r>
        <w:rPr>
          <w:rFonts w:ascii="黑体" w:eastAsia="黑体" w:hAnsi="黑体" w:hint="eastAsia"/>
          <w:szCs w:val="21"/>
        </w:rPr>
        <w:t>A</w:t>
      </w:r>
      <w:r>
        <w:rPr>
          <w:rFonts w:ascii="黑体" w:eastAsia="黑体" w:hAnsi="黑体" w:hint="eastAsia"/>
          <w:szCs w:val="21"/>
        </w:rPr>
        <w:t>股宽基指数涨跌幅</w:t>
      </w:r>
    </w:p>
    <w:p w14:paraId="140626FC" w14:textId="77777777" w:rsidR="000629FB" w:rsidRDefault="003020C5">
      <w:pPr>
        <w:spacing w:line="360" w:lineRule="auto"/>
        <w:ind w:firstLineChars="400" w:firstLine="84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鑫元基金</w:t>
      </w:r>
    </w:p>
    <w:p w14:paraId="4B12580E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上周</w:t>
      </w:r>
      <w:r>
        <w:rPr>
          <w:rFonts w:ascii="仿宋" w:eastAsia="仿宋" w:hAnsi="仿宋" w:hint="eastAsia"/>
          <w:b/>
          <w:sz w:val="24"/>
          <w:szCs w:val="24"/>
        </w:rPr>
        <w:t>A</w:t>
      </w:r>
      <w:r>
        <w:rPr>
          <w:rFonts w:ascii="仿宋" w:eastAsia="仿宋" w:hAnsi="仿宋" w:hint="eastAsia"/>
          <w:b/>
          <w:sz w:val="24"/>
          <w:szCs w:val="24"/>
        </w:rPr>
        <w:t>股各宽基指数大幅下跌。</w:t>
      </w:r>
      <w:r>
        <w:rPr>
          <w:rFonts w:ascii="仿宋" w:eastAsia="仿宋" w:hAnsi="仿宋" w:hint="eastAsia"/>
          <w:sz w:val="24"/>
          <w:szCs w:val="24"/>
        </w:rPr>
        <w:t>截至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日</w:t>
      </w:r>
      <w:r>
        <w:rPr>
          <w:rFonts w:ascii="仿宋" w:eastAsia="仿宋" w:hAnsi="仿宋" w:hint="eastAsia"/>
          <w:sz w:val="24"/>
          <w:szCs w:val="24"/>
        </w:rPr>
        <w:t>，中证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000</w:t>
      </w:r>
      <w:r>
        <w:rPr>
          <w:rFonts w:ascii="仿宋" w:eastAsia="仿宋" w:hAnsi="仿宋" w:hint="eastAsia"/>
          <w:sz w:val="24"/>
          <w:szCs w:val="24"/>
        </w:rPr>
        <w:t>下跌</w:t>
      </w:r>
      <w:r>
        <w:rPr>
          <w:rFonts w:ascii="仿宋" w:eastAsia="仿宋" w:hAnsi="仿宋"/>
          <w:sz w:val="24"/>
          <w:szCs w:val="24"/>
        </w:rPr>
        <w:t>13.19</w:t>
      </w:r>
      <w:r>
        <w:rPr>
          <w:rFonts w:ascii="仿宋" w:eastAsia="仿宋" w:hAnsi="仿宋" w:hint="eastAsia"/>
          <w:sz w:val="24"/>
          <w:szCs w:val="24"/>
        </w:rPr>
        <w:t>%</w:t>
      </w:r>
      <w:r>
        <w:rPr>
          <w:rFonts w:ascii="仿宋" w:eastAsia="仿宋" w:hAnsi="仿宋" w:hint="eastAsia"/>
          <w:sz w:val="24"/>
          <w:szCs w:val="24"/>
        </w:rPr>
        <w:t>，科创</w:t>
      </w: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下跌</w:t>
      </w:r>
      <w:r>
        <w:rPr>
          <w:rFonts w:ascii="仿宋" w:eastAsia="仿宋" w:hAnsi="仿宋"/>
          <w:sz w:val="24"/>
          <w:szCs w:val="24"/>
        </w:rPr>
        <w:lastRenderedPageBreak/>
        <w:t>9.74</w:t>
      </w:r>
      <w:r>
        <w:rPr>
          <w:rFonts w:ascii="仿宋" w:eastAsia="仿宋" w:hAnsi="仿宋" w:hint="eastAsia"/>
          <w:sz w:val="24"/>
          <w:szCs w:val="24"/>
        </w:rPr>
        <w:t>%</w:t>
      </w:r>
      <w:r>
        <w:rPr>
          <w:rFonts w:ascii="仿宋" w:eastAsia="仿宋" w:hAnsi="仿宋" w:hint="eastAsia"/>
          <w:sz w:val="24"/>
          <w:szCs w:val="24"/>
        </w:rPr>
        <w:t>，万得全</w:t>
      </w:r>
      <w:r>
        <w:rPr>
          <w:rFonts w:ascii="仿宋" w:eastAsia="仿宋" w:hAnsi="仿宋" w:hint="eastAsia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下跌</w:t>
      </w:r>
      <w:r>
        <w:rPr>
          <w:rFonts w:ascii="仿宋" w:eastAsia="仿宋" w:hAnsi="仿宋" w:hint="eastAsia"/>
          <w:sz w:val="24"/>
          <w:szCs w:val="24"/>
        </w:rPr>
        <w:t>9</w:t>
      </w:r>
      <w:r>
        <w:rPr>
          <w:rFonts w:ascii="仿宋" w:eastAsia="仿宋" w:hAnsi="仿宋"/>
          <w:sz w:val="24"/>
          <w:szCs w:val="24"/>
        </w:rPr>
        <w:t>.27%</w:t>
      </w:r>
      <w:r>
        <w:rPr>
          <w:rFonts w:ascii="仿宋" w:eastAsia="仿宋" w:hAnsi="仿宋" w:hint="eastAsia"/>
          <w:sz w:val="24"/>
          <w:szCs w:val="24"/>
        </w:rPr>
        <w:t>，跌幅靠前。从行业板块看，上周</w:t>
      </w:r>
      <w:r>
        <w:rPr>
          <w:rFonts w:ascii="仿宋" w:eastAsia="仿宋" w:hAnsi="仿宋" w:hint="eastAsia"/>
          <w:bCs/>
          <w:color w:val="00B050"/>
          <w:sz w:val="24"/>
          <w:szCs w:val="24"/>
        </w:rPr>
        <w:t>计算机、轻工制造、综合金融、消费者服务、商贸零售</w:t>
      </w:r>
      <w:r>
        <w:rPr>
          <w:rFonts w:ascii="仿宋" w:eastAsia="仿宋" w:hAnsi="仿宋" w:hint="eastAsia"/>
          <w:sz w:val="24"/>
          <w:szCs w:val="24"/>
        </w:rPr>
        <w:t>领跌。</w:t>
      </w:r>
    </w:p>
    <w:p w14:paraId="19C8E801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2</w:t>
      </w:r>
      <w:r>
        <w:rPr>
          <w:rFonts w:ascii="仿宋" w:eastAsia="仿宋" w:hAnsi="仿宋" w:hint="eastAsia"/>
          <w:b/>
          <w:sz w:val="24"/>
          <w:szCs w:val="24"/>
        </w:rPr>
        <w:t>、权益市场估值</w:t>
      </w:r>
    </w:p>
    <w:p w14:paraId="4B793CD0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图：上周</w:t>
      </w:r>
      <w:r>
        <w:rPr>
          <w:rFonts w:ascii="黑体" w:eastAsia="黑体" w:hAnsi="黑体" w:hint="eastAsia"/>
          <w:szCs w:val="21"/>
        </w:rPr>
        <w:t>A</w:t>
      </w:r>
      <w:r>
        <w:rPr>
          <w:rFonts w:ascii="黑体" w:eastAsia="黑体" w:hAnsi="黑体" w:hint="eastAsia"/>
          <w:szCs w:val="21"/>
        </w:rPr>
        <w:t>股市场宽基指数</w:t>
      </w:r>
      <w:r>
        <w:rPr>
          <w:rFonts w:ascii="黑体" w:eastAsia="黑体" w:hAnsi="黑体" w:hint="eastAsia"/>
          <w:szCs w:val="21"/>
        </w:rPr>
        <w:t>PE</w:t>
      </w:r>
      <w:r>
        <w:rPr>
          <w:rFonts w:ascii="黑体" w:eastAsia="黑体" w:hAnsi="黑体" w:hint="eastAsia"/>
          <w:szCs w:val="21"/>
        </w:rPr>
        <w:t>（</w:t>
      </w:r>
      <w:r>
        <w:rPr>
          <w:rFonts w:ascii="黑体" w:eastAsia="黑体" w:hAnsi="黑体" w:hint="eastAsia"/>
          <w:szCs w:val="21"/>
        </w:rPr>
        <w:t>TTM</w:t>
      </w:r>
      <w:r>
        <w:rPr>
          <w:rFonts w:ascii="黑体" w:eastAsia="黑体" w:hAnsi="黑体" w:hint="eastAsia"/>
          <w:szCs w:val="21"/>
        </w:rPr>
        <w:t>）</w:t>
      </w:r>
    </w:p>
    <w:p w14:paraId="051ED839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noProof/>
        </w:rPr>
        <w:drawing>
          <wp:inline distT="0" distB="0" distL="0" distR="0" wp14:anchorId="52A77525" wp14:editId="7D45F1D1">
            <wp:extent cx="6177687" cy="1368425"/>
            <wp:effectExtent l="0" t="0" r="0" b="3175"/>
            <wp:docPr id="1028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6177687" cy="1368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9C253" w14:textId="77777777" w:rsidR="000629FB" w:rsidRDefault="003020C5">
      <w:pPr>
        <w:spacing w:line="360" w:lineRule="auto"/>
        <w:ind w:firstLineChars="400" w:firstLine="84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鑫元基金</w:t>
      </w:r>
    </w:p>
    <w:p w14:paraId="0D80A5CC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图：上周</w:t>
      </w:r>
      <w:r>
        <w:rPr>
          <w:rFonts w:ascii="黑体" w:eastAsia="黑体" w:hAnsi="黑体" w:hint="eastAsia"/>
          <w:szCs w:val="21"/>
        </w:rPr>
        <w:t>A</w:t>
      </w:r>
      <w:r>
        <w:rPr>
          <w:rFonts w:ascii="黑体" w:eastAsia="黑体" w:hAnsi="黑体" w:hint="eastAsia"/>
          <w:szCs w:val="21"/>
        </w:rPr>
        <w:t>股市场中信一级行业</w:t>
      </w:r>
      <w:r>
        <w:rPr>
          <w:rFonts w:ascii="黑体" w:eastAsia="黑体" w:hAnsi="黑体" w:hint="eastAsia"/>
          <w:szCs w:val="21"/>
        </w:rPr>
        <w:t>PE</w:t>
      </w:r>
      <w:r>
        <w:rPr>
          <w:rFonts w:ascii="黑体" w:eastAsia="黑体" w:hAnsi="黑体" w:hint="eastAsia"/>
          <w:szCs w:val="21"/>
        </w:rPr>
        <w:t>（</w:t>
      </w:r>
      <w:r>
        <w:rPr>
          <w:rFonts w:ascii="黑体" w:eastAsia="黑体" w:hAnsi="黑体" w:hint="eastAsia"/>
          <w:szCs w:val="21"/>
        </w:rPr>
        <w:t>TTM</w:t>
      </w:r>
      <w:r>
        <w:rPr>
          <w:rFonts w:ascii="黑体" w:eastAsia="黑体" w:hAnsi="黑体" w:hint="eastAsia"/>
          <w:szCs w:val="21"/>
        </w:rPr>
        <w:t>）</w:t>
      </w:r>
    </w:p>
    <w:p w14:paraId="1B654D11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noProof/>
        </w:rPr>
        <w:drawing>
          <wp:inline distT="0" distB="0" distL="0" distR="0" wp14:anchorId="7F5AD5E9" wp14:editId="5ACD3691">
            <wp:extent cx="6186189" cy="3928745"/>
            <wp:effectExtent l="0" t="0" r="5080" b="0"/>
            <wp:docPr id="1029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6186189" cy="39287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A435E" w14:textId="77777777" w:rsidR="000629FB" w:rsidRDefault="003020C5">
      <w:pPr>
        <w:spacing w:line="360" w:lineRule="auto"/>
        <w:ind w:firstLineChars="400" w:firstLine="84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鑫元基金</w:t>
      </w:r>
    </w:p>
    <w:p w14:paraId="74073DD8" w14:textId="77777777" w:rsidR="000629FB" w:rsidRDefault="003020C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</w:t>
      </w:r>
      <w:r>
        <w:rPr>
          <w:rFonts w:ascii="仿宋" w:eastAsia="仿宋" w:hAnsi="仿宋"/>
          <w:b/>
          <w:sz w:val="24"/>
          <w:szCs w:val="24"/>
        </w:rPr>
        <w:t>周各宽基指数估值</w:t>
      </w:r>
      <w:r>
        <w:rPr>
          <w:rFonts w:ascii="仿宋" w:eastAsia="仿宋" w:hAnsi="仿宋" w:hint="eastAsia"/>
          <w:b/>
          <w:sz w:val="24"/>
          <w:szCs w:val="24"/>
        </w:rPr>
        <w:t>集体下跌，中证</w:t>
      </w:r>
      <w:r>
        <w:rPr>
          <w:rFonts w:ascii="仿宋" w:eastAsia="仿宋" w:hAnsi="仿宋" w:hint="eastAsia"/>
          <w:b/>
          <w:sz w:val="24"/>
          <w:szCs w:val="24"/>
        </w:rPr>
        <w:t>1</w:t>
      </w:r>
      <w:r>
        <w:rPr>
          <w:rFonts w:ascii="仿宋" w:eastAsia="仿宋" w:hAnsi="仿宋"/>
          <w:b/>
          <w:sz w:val="24"/>
          <w:szCs w:val="24"/>
        </w:rPr>
        <w:t>000</w:t>
      </w:r>
      <w:r>
        <w:rPr>
          <w:rFonts w:ascii="仿宋" w:eastAsia="仿宋" w:hAnsi="仿宋" w:hint="eastAsia"/>
          <w:b/>
          <w:sz w:val="24"/>
          <w:szCs w:val="24"/>
        </w:rPr>
        <w:t>跌幅最大</w:t>
      </w:r>
      <w:r>
        <w:rPr>
          <w:rFonts w:ascii="仿宋" w:eastAsia="仿宋" w:hAnsi="仿宋" w:hint="eastAsia"/>
          <w:sz w:val="24"/>
          <w:szCs w:val="24"/>
        </w:rPr>
        <w:t>。</w:t>
      </w:r>
      <w:r>
        <w:rPr>
          <w:rFonts w:ascii="仿宋" w:eastAsia="仿宋" w:hAnsi="仿宋"/>
          <w:sz w:val="24"/>
          <w:szCs w:val="24"/>
        </w:rPr>
        <w:t>当前各主要宽基指数估值水平</w:t>
      </w:r>
      <w:r>
        <w:rPr>
          <w:rFonts w:ascii="仿宋" w:eastAsia="仿宋" w:hAnsi="仿宋" w:hint="eastAsia"/>
          <w:sz w:val="24"/>
          <w:szCs w:val="24"/>
        </w:rPr>
        <w:t>全</w:t>
      </w:r>
      <w:r>
        <w:rPr>
          <w:rFonts w:ascii="仿宋" w:eastAsia="仿宋" w:hAnsi="仿宋"/>
          <w:sz w:val="24"/>
          <w:szCs w:val="24"/>
        </w:rPr>
        <w:t>都在历史</w:t>
      </w:r>
      <w:r>
        <w:rPr>
          <w:rFonts w:ascii="仿宋" w:eastAsia="仿宋" w:hAnsi="仿宋"/>
          <w:sz w:val="24"/>
          <w:szCs w:val="24"/>
        </w:rPr>
        <w:t>50</w:t>
      </w:r>
      <w:r>
        <w:rPr>
          <w:rFonts w:ascii="仿宋" w:eastAsia="仿宋" w:hAnsi="仿宋" w:hint="eastAsia"/>
          <w:sz w:val="24"/>
          <w:szCs w:val="24"/>
        </w:rPr>
        <w:t>%</w:t>
      </w:r>
      <w:r>
        <w:rPr>
          <w:rFonts w:ascii="仿宋" w:eastAsia="仿宋" w:hAnsi="仿宋"/>
          <w:sz w:val="24"/>
          <w:szCs w:val="24"/>
        </w:rPr>
        <w:t>分位数以下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未来仍有一定估值提升空间</w:t>
      </w:r>
      <w:r>
        <w:rPr>
          <w:rFonts w:ascii="仿宋" w:eastAsia="仿宋" w:hAnsi="仿宋" w:hint="eastAsia"/>
          <w:sz w:val="24"/>
          <w:szCs w:val="24"/>
        </w:rPr>
        <w:t>。</w:t>
      </w:r>
      <w:r>
        <w:rPr>
          <w:rFonts w:ascii="仿宋" w:eastAsia="仿宋" w:hAnsi="仿宋"/>
          <w:sz w:val="24"/>
          <w:szCs w:val="24"/>
        </w:rPr>
        <w:t>从</w:t>
      </w:r>
      <w:r>
        <w:rPr>
          <w:rFonts w:ascii="仿宋" w:eastAsia="仿宋" w:hAnsi="仿宋" w:hint="eastAsia"/>
          <w:sz w:val="24"/>
          <w:szCs w:val="24"/>
        </w:rPr>
        <w:t>行业</w:t>
      </w:r>
      <w:r>
        <w:rPr>
          <w:rFonts w:ascii="仿宋" w:eastAsia="仿宋" w:hAnsi="仿宋"/>
          <w:sz w:val="24"/>
          <w:szCs w:val="24"/>
        </w:rPr>
        <w:t>板块看</w:t>
      </w:r>
      <w:r>
        <w:rPr>
          <w:rFonts w:ascii="仿宋" w:eastAsia="仿宋" w:hAnsi="仿宋" w:hint="eastAsia"/>
          <w:sz w:val="24"/>
          <w:szCs w:val="24"/>
        </w:rPr>
        <w:t>，上</w:t>
      </w:r>
      <w:r>
        <w:rPr>
          <w:rFonts w:ascii="仿宋" w:eastAsia="仿宋" w:hAnsi="仿宋"/>
          <w:sz w:val="24"/>
          <w:szCs w:val="24"/>
        </w:rPr>
        <w:t>周</w:t>
      </w:r>
      <w:r>
        <w:rPr>
          <w:rFonts w:ascii="仿宋" w:eastAsia="仿宋" w:hAnsi="仿宋" w:hint="eastAsia"/>
          <w:sz w:val="24"/>
          <w:szCs w:val="24"/>
        </w:rPr>
        <w:t>没有行业估值上行，</w:t>
      </w: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农林牧渔、传媒、计算机、综合金融、电子</w:t>
      </w:r>
      <w:r>
        <w:rPr>
          <w:rFonts w:ascii="仿宋" w:eastAsia="仿宋" w:hAnsi="仿宋" w:hint="eastAsia"/>
          <w:sz w:val="24"/>
          <w:szCs w:val="24"/>
        </w:rPr>
        <w:t>下行最多。当前</w:t>
      </w:r>
      <w:r>
        <w:rPr>
          <w:rFonts w:ascii="仿宋" w:eastAsia="仿宋" w:hAnsi="仿宋" w:hint="eastAsia"/>
          <w:b/>
          <w:color w:val="00B050"/>
          <w:sz w:val="24"/>
          <w:szCs w:val="24"/>
        </w:rPr>
        <w:t>综合金融、传媒、钢铁、汽车、建材</w:t>
      </w:r>
      <w:r>
        <w:rPr>
          <w:rFonts w:ascii="仿宋" w:eastAsia="仿宋" w:hAnsi="仿宋" w:hint="eastAsia"/>
          <w:sz w:val="24"/>
          <w:szCs w:val="24"/>
        </w:rPr>
        <w:t>板块估值处于历史较高水平；</w:t>
      </w: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电新、有色、机械、军工、家电</w:t>
      </w:r>
      <w:r>
        <w:rPr>
          <w:rFonts w:ascii="仿宋" w:eastAsia="仿宋" w:hAnsi="仿宋" w:hint="eastAsia"/>
          <w:sz w:val="24"/>
          <w:szCs w:val="24"/>
        </w:rPr>
        <w:t>板块估值处于历史较</w:t>
      </w:r>
      <w:r>
        <w:rPr>
          <w:rFonts w:ascii="仿宋" w:eastAsia="仿宋" w:hAnsi="仿宋" w:hint="eastAsia"/>
          <w:sz w:val="24"/>
          <w:szCs w:val="24"/>
        </w:rPr>
        <w:lastRenderedPageBreak/>
        <w:t>低水平。</w:t>
      </w:r>
    </w:p>
    <w:p w14:paraId="54DC795C" w14:textId="77777777" w:rsidR="000629FB" w:rsidRDefault="003020C5">
      <w:pPr>
        <w:spacing w:line="360" w:lineRule="auto"/>
        <w:ind w:firstLine="48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3</w:t>
      </w:r>
      <w:r>
        <w:rPr>
          <w:rFonts w:ascii="仿宋" w:eastAsia="仿宋" w:hAnsi="仿宋" w:hint="eastAsia"/>
          <w:b/>
          <w:sz w:val="24"/>
          <w:szCs w:val="24"/>
        </w:rPr>
        <w:t>、权益市场情绪</w:t>
      </w:r>
    </w:p>
    <w:p w14:paraId="29289BDC" w14:textId="7DE2F2DA" w:rsidR="000629FB" w:rsidRDefault="003020C5">
      <w:pPr>
        <w:spacing w:line="360" w:lineRule="auto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上周量化模型的信号为“中性偏空”。从全</w:t>
      </w:r>
      <w:r>
        <w:rPr>
          <w:rFonts w:ascii="仿宋" w:eastAsia="仿宋" w:hAnsi="仿宋" w:hint="eastAsia"/>
          <w:bCs/>
          <w:sz w:val="24"/>
          <w:szCs w:val="24"/>
        </w:rPr>
        <w:t>A</w:t>
      </w:r>
      <w:r>
        <w:rPr>
          <w:rFonts w:ascii="仿宋" w:eastAsia="仿宋" w:hAnsi="仿宋" w:hint="eastAsia"/>
          <w:bCs/>
          <w:sz w:val="24"/>
          <w:szCs w:val="24"/>
        </w:rPr>
        <w:t>换手率的角度看，</w:t>
      </w:r>
      <w:r w:rsidR="000945DD">
        <w:rPr>
          <w:rFonts w:ascii="仿宋" w:eastAsia="仿宋" w:hAnsi="仿宋" w:hint="eastAsia"/>
          <w:bCs/>
          <w:sz w:val="24"/>
          <w:szCs w:val="24"/>
        </w:rPr>
        <w:t>上</w:t>
      </w:r>
      <w:r>
        <w:rPr>
          <w:rFonts w:ascii="仿宋" w:eastAsia="仿宋" w:hAnsi="仿宋" w:hint="eastAsia"/>
          <w:bCs/>
          <w:sz w:val="24"/>
          <w:szCs w:val="24"/>
        </w:rPr>
        <w:t>周市场放量下跌。从行业拥挤度的角度，消费者服务，机械，传媒行业的拥挤度较高。</w:t>
      </w:r>
    </w:p>
    <w:p w14:paraId="15F00DCF" w14:textId="77777777" w:rsidR="000629FB" w:rsidRDefault="003020C5">
      <w:pPr>
        <w:spacing w:line="360" w:lineRule="auto"/>
        <w:ind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从股债性价比大周期的角度，目前权益相对固收的风险溢价为</w:t>
      </w:r>
      <w:r>
        <w:rPr>
          <w:rFonts w:ascii="仿宋" w:eastAsia="仿宋" w:hAnsi="仿宋" w:hint="eastAsia"/>
          <w:bCs/>
          <w:sz w:val="24"/>
          <w:szCs w:val="24"/>
        </w:rPr>
        <w:t>7.03%</w:t>
      </w:r>
      <w:r>
        <w:rPr>
          <w:rFonts w:ascii="仿宋" w:eastAsia="仿宋" w:hAnsi="仿宋" w:hint="eastAsia"/>
          <w:bCs/>
          <w:sz w:val="24"/>
          <w:szCs w:val="24"/>
        </w:rPr>
        <w:t>，处于历史</w:t>
      </w:r>
      <w:r>
        <w:rPr>
          <w:rFonts w:ascii="仿宋" w:eastAsia="仿宋" w:hAnsi="仿宋" w:hint="eastAsia"/>
          <w:bCs/>
          <w:sz w:val="24"/>
          <w:szCs w:val="24"/>
        </w:rPr>
        <w:t>99.75%</w:t>
      </w:r>
      <w:r>
        <w:rPr>
          <w:rFonts w:ascii="仿宋" w:eastAsia="仿宋" w:hAnsi="仿宋" w:hint="eastAsia"/>
          <w:bCs/>
          <w:sz w:val="24"/>
          <w:szCs w:val="24"/>
        </w:rPr>
        <w:t>的分位数，所以从此时点看，长期持有仍是好选择。</w:t>
      </w:r>
    </w:p>
    <w:p w14:paraId="354E6B3B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anchor distT="0" distB="0" distL="0" distR="0" simplePos="0" relativeHeight="3" behindDoc="0" locked="0" layoutInCell="1" allowOverlap="1" wp14:anchorId="0DB33A50" wp14:editId="2FD0B62D">
            <wp:simplePos x="0" y="0"/>
            <wp:positionH relativeFrom="column">
              <wp:posOffset>309245</wp:posOffset>
            </wp:positionH>
            <wp:positionV relativeFrom="paragraph">
              <wp:posOffset>359410</wp:posOffset>
            </wp:positionV>
            <wp:extent cx="5402580" cy="3249293"/>
            <wp:effectExtent l="0" t="0" r="7620" b="8255"/>
            <wp:wrapTopAndBottom/>
            <wp:docPr id="1030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5402580" cy="3249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szCs w:val="21"/>
        </w:rPr>
        <w:t>图：全市场换手率</w:t>
      </w:r>
    </w:p>
    <w:p w14:paraId="1C7496A5" w14:textId="77777777" w:rsidR="000629FB" w:rsidRDefault="000629FB">
      <w:pPr>
        <w:spacing w:line="360" w:lineRule="auto"/>
        <w:jc w:val="center"/>
        <w:rPr>
          <w:rFonts w:ascii="黑体" w:eastAsia="黑体" w:hAnsi="黑体"/>
          <w:szCs w:val="21"/>
        </w:rPr>
      </w:pPr>
    </w:p>
    <w:p w14:paraId="3FC3F41C" w14:textId="77777777" w:rsidR="000629FB" w:rsidRDefault="003020C5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鑫元基金</w:t>
      </w:r>
    </w:p>
    <w:p w14:paraId="5B78AA8A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lastRenderedPageBreak/>
        <w:drawing>
          <wp:anchor distT="0" distB="0" distL="0" distR="0" simplePos="0" relativeHeight="4" behindDoc="0" locked="0" layoutInCell="1" allowOverlap="1" wp14:anchorId="74E9AF24" wp14:editId="43F0ED44">
            <wp:simplePos x="0" y="0"/>
            <wp:positionH relativeFrom="column">
              <wp:posOffset>302260</wp:posOffset>
            </wp:positionH>
            <wp:positionV relativeFrom="paragraph">
              <wp:posOffset>477520</wp:posOffset>
            </wp:positionV>
            <wp:extent cx="5402580" cy="3249295"/>
            <wp:effectExtent l="0" t="0" r="7620" b="8255"/>
            <wp:wrapTopAndBottom/>
            <wp:docPr id="1031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540258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szCs w:val="21"/>
        </w:rPr>
        <w:t>图：行业拥挤度分位数</w:t>
      </w:r>
    </w:p>
    <w:p w14:paraId="3F335E34" w14:textId="77777777" w:rsidR="000629FB" w:rsidRDefault="000629FB">
      <w:pPr>
        <w:spacing w:line="360" w:lineRule="auto"/>
        <w:jc w:val="center"/>
        <w:rPr>
          <w:rFonts w:ascii="黑体" w:eastAsia="黑体" w:hAnsi="黑体"/>
          <w:szCs w:val="21"/>
        </w:rPr>
      </w:pPr>
    </w:p>
    <w:p w14:paraId="30B1C436" w14:textId="77777777" w:rsidR="000629FB" w:rsidRDefault="000629FB">
      <w:pPr>
        <w:spacing w:line="360" w:lineRule="auto"/>
        <w:jc w:val="center"/>
        <w:rPr>
          <w:rFonts w:ascii="黑体" w:eastAsia="黑体" w:hAnsi="黑体"/>
          <w:szCs w:val="21"/>
        </w:rPr>
      </w:pPr>
    </w:p>
    <w:p w14:paraId="2EC124DC" w14:textId="77777777" w:rsidR="000629FB" w:rsidRDefault="003020C5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鑫元基金</w:t>
      </w:r>
    </w:p>
    <w:p w14:paraId="42AFCC36" w14:textId="77777777" w:rsidR="000629FB" w:rsidRDefault="003020C5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anchor distT="0" distB="0" distL="0" distR="0" simplePos="0" relativeHeight="5" behindDoc="0" locked="0" layoutInCell="1" allowOverlap="1" wp14:anchorId="0CCB26D8" wp14:editId="689DD77A">
            <wp:simplePos x="0" y="0"/>
            <wp:positionH relativeFrom="column">
              <wp:posOffset>440054</wp:posOffset>
            </wp:positionH>
            <wp:positionV relativeFrom="paragraph">
              <wp:posOffset>389890</wp:posOffset>
            </wp:positionV>
            <wp:extent cx="5285740" cy="2966720"/>
            <wp:effectExtent l="0" t="0" r="0" b="5080"/>
            <wp:wrapTopAndBottom/>
            <wp:docPr id="1032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528574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szCs w:val="21"/>
        </w:rPr>
        <w:t>图：股债性价比：沪深</w:t>
      </w:r>
      <w:r>
        <w:rPr>
          <w:rFonts w:ascii="黑体" w:eastAsia="黑体" w:hAnsi="黑体" w:hint="eastAsia"/>
          <w:szCs w:val="21"/>
        </w:rPr>
        <w:t>300</w:t>
      </w:r>
      <w:r>
        <w:rPr>
          <w:rFonts w:ascii="黑体" w:eastAsia="黑体" w:hAnsi="黑体" w:hint="eastAsia"/>
          <w:szCs w:val="21"/>
        </w:rPr>
        <w:t>与</w:t>
      </w:r>
      <w:r>
        <w:rPr>
          <w:rFonts w:ascii="黑体" w:eastAsia="黑体" w:hAnsi="黑体" w:hint="eastAsia"/>
          <w:szCs w:val="21"/>
        </w:rPr>
        <w:t>10</w:t>
      </w:r>
      <w:r>
        <w:rPr>
          <w:rFonts w:ascii="黑体" w:eastAsia="黑体" w:hAnsi="黑体" w:hint="eastAsia"/>
          <w:szCs w:val="21"/>
        </w:rPr>
        <w:t>年期国债</w:t>
      </w:r>
    </w:p>
    <w:p w14:paraId="6D3A079C" w14:textId="77777777" w:rsidR="000629FB" w:rsidRDefault="000629FB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</w:p>
    <w:p w14:paraId="6642DD43" w14:textId="77777777" w:rsidR="000629FB" w:rsidRDefault="003020C5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鑫元基金</w:t>
      </w:r>
    </w:p>
    <w:p w14:paraId="2E2F3B44" w14:textId="77777777" w:rsidR="000629FB" w:rsidRDefault="003020C5">
      <w:pPr>
        <w:spacing w:line="360" w:lineRule="auto"/>
        <w:ind w:firstLine="480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4</w:t>
      </w:r>
      <w:r>
        <w:rPr>
          <w:rFonts w:ascii="楷体" w:eastAsia="楷体" w:hAnsi="楷体" w:hint="eastAsia"/>
          <w:b/>
          <w:sz w:val="24"/>
          <w:szCs w:val="24"/>
        </w:rPr>
        <w:t>、权益市场资金</w:t>
      </w:r>
    </w:p>
    <w:p w14:paraId="65017711" w14:textId="77777777" w:rsidR="000629FB" w:rsidRDefault="003020C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上周北向资金净流入</w:t>
      </w:r>
      <w:r>
        <w:rPr>
          <w:rFonts w:ascii="仿宋" w:eastAsia="仿宋" w:hAnsi="仿宋" w:hint="eastAsia"/>
          <w:b/>
          <w:sz w:val="24"/>
          <w:szCs w:val="24"/>
        </w:rPr>
        <w:t>9</w:t>
      </w:r>
      <w:r>
        <w:rPr>
          <w:rFonts w:ascii="仿宋" w:eastAsia="仿宋" w:hAnsi="仿宋"/>
          <w:b/>
          <w:sz w:val="24"/>
          <w:szCs w:val="24"/>
        </w:rPr>
        <w:t>9.38</w:t>
      </w:r>
      <w:r>
        <w:rPr>
          <w:rFonts w:ascii="仿宋" w:eastAsia="仿宋" w:hAnsi="仿宋" w:hint="eastAsia"/>
          <w:b/>
          <w:sz w:val="24"/>
          <w:szCs w:val="24"/>
        </w:rPr>
        <w:t>亿元，上上周净流出</w:t>
      </w:r>
      <w:r>
        <w:rPr>
          <w:rFonts w:ascii="仿宋" w:eastAsia="仿宋" w:hAnsi="仿宋"/>
          <w:b/>
          <w:sz w:val="24"/>
          <w:szCs w:val="24"/>
        </w:rPr>
        <w:t>123.45</w:t>
      </w:r>
      <w:r>
        <w:rPr>
          <w:rFonts w:ascii="仿宋" w:eastAsia="仿宋" w:hAnsi="仿宋" w:hint="eastAsia"/>
          <w:b/>
          <w:sz w:val="24"/>
          <w:szCs w:val="24"/>
        </w:rPr>
        <w:t>亿元，最近一周北向资金净流出转净流入。</w:t>
      </w:r>
      <w:r>
        <w:rPr>
          <w:rFonts w:ascii="仿宋" w:eastAsia="仿宋" w:hAnsi="仿宋" w:hint="eastAsia"/>
          <w:sz w:val="24"/>
          <w:szCs w:val="24"/>
        </w:rPr>
        <w:t>上周增持金额排行靠前的行业是</w:t>
      </w:r>
      <w:r>
        <w:rPr>
          <w:rFonts w:ascii="仿宋" w:eastAsia="仿宋" w:hAnsi="仿宋" w:hint="eastAsia"/>
          <w:color w:val="FF0000"/>
          <w:sz w:val="24"/>
          <w:szCs w:val="24"/>
        </w:rPr>
        <w:t>电新</w:t>
      </w:r>
      <w:r>
        <w:rPr>
          <w:rFonts w:ascii="仿宋" w:eastAsia="仿宋" w:hAnsi="仿宋" w:hint="eastAsia"/>
          <w:sz w:val="24"/>
          <w:szCs w:val="24"/>
        </w:rPr>
        <w:t>（↓</w:t>
      </w:r>
      <w:r>
        <w:rPr>
          <w:rFonts w:ascii="仿宋" w:eastAsia="仿宋" w:hAnsi="仿宋"/>
          <w:sz w:val="24"/>
          <w:szCs w:val="24"/>
        </w:rPr>
        <w:t xml:space="preserve"> 0.04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color w:val="FF0000"/>
          <w:sz w:val="24"/>
          <w:szCs w:val="24"/>
        </w:rPr>
        <w:t>、电子</w:t>
      </w:r>
      <w:r>
        <w:rPr>
          <w:rFonts w:ascii="仿宋" w:eastAsia="仿宋" w:hAnsi="仿宋" w:hint="eastAsia"/>
          <w:sz w:val="24"/>
          <w:szCs w:val="24"/>
        </w:rPr>
        <w:t>（↓</w:t>
      </w:r>
      <w:r>
        <w:rPr>
          <w:rFonts w:ascii="仿宋" w:eastAsia="仿宋" w:hAnsi="仿宋"/>
          <w:sz w:val="24"/>
          <w:szCs w:val="24"/>
        </w:rPr>
        <w:t>0.31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color w:val="FF0000"/>
          <w:sz w:val="24"/>
          <w:szCs w:val="24"/>
        </w:rPr>
        <w:t>、通信</w:t>
      </w:r>
      <w:r>
        <w:rPr>
          <w:rFonts w:ascii="仿宋" w:eastAsia="仿宋" w:hAnsi="仿宋" w:hint="eastAsia"/>
          <w:sz w:val="24"/>
          <w:szCs w:val="24"/>
        </w:rPr>
        <w:t>（↑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0.06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color w:val="FF0000"/>
          <w:sz w:val="24"/>
          <w:szCs w:val="24"/>
        </w:rPr>
        <w:t>、食品饮料</w:t>
      </w:r>
      <w:r>
        <w:rPr>
          <w:rFonts w:ascii="仿宋" w:eastAsia="仿宋" w:hAnsi="仿宋" w:hint="eastAsia"/>
          <w:sz w:val="24"/>
          <w:szCs w:val="24"/>
        </w:rPr>
        <w:t>（↑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0.28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color w:val="FF0000"/>
          <w:sz w:val="24"/>
          <w:szCs w:val="24"/>
        </w:rPr>
        <w:t>、计算机</w:t>
      </w:r>
      <w:r>
        <w:rPr>
          <w:rFonts w:ascii="仿宋" w:eastAsia="仿宋" w:hAnsi="仿宋" w:hint="eastAsia"/>
          <w:sz w:val="24"/>
          <w:szCs w:val="24"/>
        </w:rPr>
        <w:t>（↓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0.12</w:t>
      </w:r>
      <w:r>
        <w:rPr>
          <w:rFonts w:ascii="仿宋" w:eastAsia="仿宋" w:hAnsi="仿宋" w:hint="eastAsia"/>
          <w:sz w:val="24"/>
          <w:szCs w:val="24"/>
        </w:rPr>
        <w:t>）；减持金额排名靠前的行业是</w:t>
      </w:r>
      <w:r>
        <w:rPr>
          <w:rFonts w:ascii="仿宋" w:eastAsia="仿宋" w:hAnsi="仿宋" w:hint="eastAsia"/>
          <w:color w:val="00B050"/>
          <w:sz w:val="24"/>
          <w:szCs w:val="24"/>
        </w:rPr>
        <w:t>银行</w:t>
      </w:r>
      <w:r>
        <w:rPr>
          <w:rFonts w:ascii="仿宋" w:eastAsia="仿宋" w:hAnsi="仿宋" w:hint="eastAsia"/>
          <w:sz w:val="24"/>
          <w:szCs w:val="24"/>
        </w:rPr>
        <w:t>（↑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0.3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color w:val="00B050"/>
          <w:sz w:val="24"/>
          <w:szCs w:val="24"/>
        </w:rPr>
        <w:t>、传媒</w:t>
      </w:r>
      <w:r>
        <w:rPr>
          <w:rFonts w:ascii="仿宋" w:eastAsia="仿宋" w:hAnsi="仿宋" w:hint="eastAsia"/>
          <w:sz w:val="24"/>
          <w:szCs w:val="24"/>
        </w:rPr>
        <w:t>（↓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0.1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color w:val="00B050"/>
          <w:sz w:val="24"/>
          <w:szCs w:val="24"/>
        </w:rPr>
        <w:t>、家电</w:t>
      </w:r>
      <w:r>
        <w:rPr>
          <w:rFonts w:ascii="仿宋" w:eastAsia="仿宋" w:hAnsi="仿宋" w:hint="eastAsia"/>
          <w:sz w:val="24"/>
          <w:szCs w:val="24"/>
        </w:rPr>
        <w:t>（↑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0.46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color w:val="00B050"/>
          <w:sz w:val="24"/>
          <w:szCs w:val="24"/>
        </w:rPr>
        <w:t>、煤炭</w:t>
      </w:r>
      <w:r>
        <w:rPr>
          <w:rFonts w:ascii="仿宋" w:eastAsia="仿宋" w:hAnsi="仿宋" w:hint="eastAsia"/>
          <w:sz w:val="24"/>
          <w:szCs w:val="24"/>
        </w:rPr>
        <w:t>（↑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0.04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color w:val="00B050"/>
          <w:sz w:val="24"/>
          <w:szCs w:val="24"/>
        </w:rPr>
        <w:t>、消费者服务</w:t>
      </w:r>
      <w:r>
        <w:rPr>
          <w:rFonts w:ascii="仿宋" w:eastAsia="仿宋" w:hAnsi="仿宋" w:hint="eastAsia"/>
          <w:sz w:val="24"/>
          <w:szCs w:val="24"/>
        </w:rPr>
        <w:t>（↓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0.06</w:t>
      </w:r>
      <w:r>
        <w:rPr>
          <w:rFonts w:ascii="仿宋" w:eastAsia="仿宋" w:hAnsi="仿宋" w:hint="eastAsia"/>
          <w:sz w:val="24"/>
          <w:szCs w:val="24"/>
        </w:rPr>
        <w:t>）。</w:t>
      </w:r>
    </w:p>
    <w:p w14:paraId="0441BF71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anchor distT="0" distB="0" distL="0" distR="0" simplePos="0" relativeHeight="7" behindDoc="0" locked="0" layoutInCell="1" allowOverlap="1" wp14:anchorId="0A604734" wp14:editId="2A984E3D">
            <wp:simplePos x="0" y="0"/>
            <wp:positionH relativeFrom="column">
              <wp:posOffset>788035</wp:posOffset>
            </wp:positionH>
            <wp:positionV relativeFrom="paragraph">
              <wp:posOffset>457835</wp:posOffset>
            </wp:positionV>
            <wp:extent cx="4540885" cy="2661285"/>
            <wp:effectExtent l="0" t="0" r="0" b="5715"/>
            <wp:wrapTopAndBottom/>
            <wp:docPr id="1033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4540885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 w:hint="eastAsia"/>
          <w:szCs w:val="21"/>
        </w:rPr>
        <w:t>图：上周北向资金行业流向（亿元）</w:t>
      </w:r>
    </w:p>
    <w:p w14:paraId="6959F39E" w14:textId="77777777" w:rsidR="000629FB" w:rsidRDefault="000629FB">
      <w:pPr>
        <w:spacing w:line="360" w:lineRule="auto"/>
        <w:rPr>
          <w:rFonts w:ascii="黑体" w:eastAsia="黑体" w:hAnsi="黑体"/>
          <w:szCs w:val="21"/>
        </w:rPr>
      </w:pPr>
    </w:p>
    <w:p w14:paraId="3AE3DCA0" w14:textId="77777777" w:rsidR="000629FB" w:rsidRDefault="000629FB">
      <w:pPr>
        <w:spacing w:line="360" w:lineRule="auto"/>
        <w:jc w:val="center"/>
        <w:rPr>
          <w:rFonts w:ascii="黑体" w:eastAsia="黑体" w:hAnsi="黑体"/>
          <w:szCs w:val="21"/>
        </w:rPr>
      </w:pPr>
    </w:p>
    <w:p w14:paraId="5293B300" w14:textId="77777777" w:rsidR="000629FB" w:rsidRDefault="003020C5">
      <w:pPr>
        <w:spacing w:line="360" w:lineRule="auto"/>
        <w:ind w:firstLineChars="400" w:firstLine="84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鑫元基金</w:t>
      </w:r>
    </w:p>
    <w:p w14:paraId="0746EEC8" w14:textId="4C6284FA" w:rsidR="000629FB" w:rsidRDefault="003020C5">
      <w:pPr>
        <w:spacing w:line="360" w:lineRule="auto"/>
        <w:ind w:firstLineChars="200" w:firstLine="482"/>
        <w:rPr>
          <w:rFonts w:ascii="仿宋" w:eastAsia="仿宋" w:hAnsi="仿宋"/>
          <w:color w:val="000000"/>
          <w:kern w:val="24"/>
          <w:sz w:val="24"/>
          <w:szCs w:val="24"/>
        </w:rPr>
      </w:pPr>
      <w:r>
        <w:rPr>
          <w:rFonts w:ascii="仿宋" w:eastAsia="仿宋" w:hAnsi="仿宋"/>
          <w:b/>
          <w:color w:val="000000"/>
          <w:kern w:val="24"/>
          <w:sz w:val="24"/>
          <w:szCs w:val="24"/>
        </w:rPr>
        <w:t>2</w:t>
      </w:r>
      <w:r>
        <w:rPr>
          <w:rFonts w:ascii="仿宋" w:eastAsia="仿宋" w:hAnsi="仿宋" w:hint="eastAsia"/>
          <w:b/>
          <w:color w:val="000000"/>
          <w:kern w:val="24"/>
          <w:sz w:val="24"/>
          <w:szCs w:val="24"/>
        </w:rPr>
        <w:t>月</w:t>
      </w:r>
      <w:r>
        <w:rPr>
          <w:rFonts w:ascii="仿宋" w:eastAsia="仿宋" w:hAnsi="仿宋"/>
          <w:b/>
          <w:color w:val="000000"/>
          <w:kern w:val="24"/>
          <w:sz w:val="24"/>
          <w:szCs w:val="24"/>
        </w:rPr>
        <w:t>1</w:t>
      </w:r>
      <w:r>
        <w:rPr>
          <w:rFonts w:ascii="仿宋" w:eastAsia="仿宋" w:hAnsi="仿宋" w:hint="eastAsia"/>
          <w:b/>
          <w:color w:val="000000"/>
          <w:kern w:val="24"/>
          <w:sz w:val="24"/>
          <w:szCs w:val="24"/>
        </w:rPr>
        <w:t>日，两融资金占比为</w:t>
      </w:r>
      <w:r>
        <w:rPr>
          <w:rFonts w:ascii="仿宋" w:eastAsia="仿宋" w:hAnsi="仿宋"/>
          <w:b/>
          <w:color w:val="000000"/>
          <w:kern w:val="24"/>
          <w:sz w:val="24"/>
          <w:szCs w:val="24"/>
        </w:rPr>
        <w:t>6.01</w:t>
      </w:r>
      <w:r>
        <w:rPr>
          <w:rFonts w:ascii="仿宋" w:eastAsia="仿宋" w:hAnsi="仿宋" w:hint="eastAsia"/>
          <w:b/>
          <w:color w:val="000000"/>
          <w:kern w:val="24"/>
          <w:sz w:val="24"/>
          <w:szCs w:val="24"/>
        </w:rPr>
        <w:t>%</w:t>
      </w:r>
      <w:r>
        <w:rPr>
          <w:rFonts w:ascii="仿宋" w:eastAsia="仿宋" w:hAnsi="仿宋" w:hint="eastAsia"/>
          <w:b/>
          <w:color w:val="000000"/>
          <w:kern w:val="24"/>
          <w:sz w:val="24"/>
          <w:szCs w:val="24"/>
        </w:rPr>
        <w:t>，</w:t>
      </w:r>
      <w:r>
        <w:rPr>
          <w:rFonts w:ascii="仿宋" w:eastAsia="仿宋" w:hAnsi="仿宋"/>
          <w:b/>
          <w:color w:val="000000"/>
          <w:kern w:val="24"/>
          <w:sz w:val="24"/>
          <w:szCs w:val="24"/>
        </w:rPr>
        <w:t>1</w:t>
      </w:r>
      <w:r>
        <w:rPr>
          <w:rFonts w:ascii="仿宋" w:eastAsia="仿宋" w:hAnsi="仿宋" w:hint="eastAsia"/>
          <w:b/>
          <w:color w:val="000000"/>
          <w:kern w:val="24"/>
          <w:sz w:val="24"/>
          <w:szCs w:val="24"/>
        </w:rPr>
        <w:t>月</w:t>
      </w:r>
      <w:r>
        <w:rPr>
          <w:rFonts w:ascii="仿宋" w:eastAsia="仿宋" w:hAnsi="仿宋"/>
          <w:b/>
          <w:color w:val="000000"/>
          <w:kern w:val="24"/>
          <w:sz w:val="24"/>
          <w:szCs w:val="24"/>
        </w:rPr>
        <w:t>26</w:t>
      </w:r>
      <w:r>
        <w:rPr>
          <w:rFonts w:ascii="仿宋" w:eastAsia="仿宋" w:hAnsi="仿宋" w:hint="eastAsia"/>
          <w:b/>
          <w:color w:val="000000"/>
          <w:kern w:val="24"/>
          <w:sz w:val="24"/>
          <w:szCs w:val="24"/>
        </w:rPr>
        <w:t>日为</w:t>
      </w:r>
      <w:r>
        <w:rPr>
          <w:rFonts w:ascii="仿宋" w:eastAsia="仿宋" w:hAnsi="仿宋"/>
          <w:b/>
          <w:color w:val="000000"/>
          <w:kern w:val="24"/>
          <w:sz w:val="24"/>
          <w:szCs w:val="24"/>
        </w:rPr>
        <w:t>7.43</w:t>
      </w:r>
      <w:r>
        <w:rPr>
          <w:rFonts w:ascii="仿宋" w:eastAsia="仿宋" w:hAnsi="仿宋" w:hint="eastAsia"/>
          <w:b/>
          <w:color w:val="000000"/>
          <w:kern w:val="24"/>
          <w:sz w:val="24"/>
          <w:szCs w:val="24"/>
        </w:rPr>
        <w:t>%</w:t>
      </w:r>
      <w:r>
        <w:rPr>
          <w:rFonts w:ascii="仿宋" w:eastAsia="仿宋" w:hAnsi="仿宋" w:hint="eastAsia"/>
          <w:b/>
          <w:color w:val="000000"/>
          <w:kern w:val="24"/>
          <w:sz w:val="24"/>
          <w:szCs w:val="24"/>
        </w:rPr>
        <w:t>，反映出杠杆资金加仓意愿下降。</w:t>
      </w:r>
      <w:r>
        <w:rPr>
          <w:rFonts w:ascii="仿宋" w:eastAsia="仿宋" w:hAnsi="仿宋" w:hint="eastAsia"/>
          <w:color w:val="000000"/>
          <w:kern w:val="24"/>
          <w:sz w:val="24"/>
          <w:szCs w:val="24"/>
        </w:rPr>
        <w:t>截至</w:t>
      </w:r>
      <w:r>
        <w:rPr>
          <w:rFonts w:ascii="仿宋" w:eastAsia="仿宋" w:hAnsi="仿宋"/>
          <w:color w:val="000000"/>
          <w:kern w:val="24"/>
          <w:sz w:val="24"/>
          <w:szCs w:val="24"/>
        </w:rPr>
        <w:t>2</w:t>
      </w:r>
      <w:r>
        <w:rPr>
          <w:rFonts w:ascii="仿宋" w:eastAsia="仿宋" w:hAnsi="仿宋" w:hint="eastAsia"/>
          <w:color w:val="000000"/>
          <w:kern w:val="24"/>
          <w:sz w:val="24"/>
          <w:szCs w:val="24"/>
        </w:rPr>
        <w:t>月</w:t>
      </w:r>
      <w:r>
        <w:rPr>
          <w:rFonts w:ascii="仿宋" w:eastAsia="仿宋" w:hAnsi="仿宋"/>
          <w:color w:val="000000"/>
          <w:kern w:val="24"/>
          <w:sz w:val="24"/>
          <w:szCs w:val="24"/>
        </w:rPr>
        <w:t>2</w:t>
      </w:r>
      <w:r>
        <w:rPr>
          <w:rFonts w:ascii="仿宋" w:eastAsia="仿宋" w:hAnsi="仿宋" w:hint="eastAsia"/>
          <w:color w:val="000000"/>
          <w:kern w:val="24"/>
          <w:sz w:val="24"/>
          <w:szCs w:val="24"/>
        </w:rPr>
        <w:t>日，</w:t>
      </w:r>
      <w:r w:rsidR="000945DD">
        <w:rPr>
          <w:rFonts w:ascii="仿宋" w:eastAsia="仿宋" w:hAnsi="仿宋" w:hint="eastAsia"/>
          <w:color w:val="000000"/>
          <w:kern w:val="24"/>
          <w:sz w:val="24"/>
          <w:szCs w:val="24"/>
        </w:rPr>
        <w:t>上</w:t>
      </w:r>
      <w:r>
        <w:rPr>
          <w:rFonts w:ascii="仿宋" w:eastAsia="仿宋" w:hAnsi="仿宋" w:hint="eastAsia"/>
          <w:color w:val="000000"/>
          <w:kern w:val="24"/>
          <w:sz w:val="24"/>
          <w:szCs w:val="24"/>
        </w:rPr>
        <w:t>周融资净买入最大的五个行业为</w:t>
      </w:r>
      <w:r>
        <w:rPr>
          <w:rFonts w:ascii="仿宋" w:eastAsia="仿宋" w:hAnsi="仿宋" w:hint="eastAsia"/>
          <w:b/>
          <w:bCs/>
          <w:color w:val="000000"/>
          <w:kern w:val="24"/>
          <w:sz w:val="24"/>
          <w:szCs w:val="24"/>
        </w:rPr>
        <w:t>综合金融、石油石化、纺织服装、消费者服务、建材</w:t>
      </w:r>
      <w:r>
        <w:rPr>
          <w:rFonts w:ascii="仿宋" w:eastAsia="仿宋" w:hAnsi="仿宋" w:hint="eastAsia"/>
          <w:color w:val="000000"/>
          <w:kern w:val="24"/>
          <w:sz w:val="24"/>
          <w:szCs w:val="24"/>
        </w:rPr>
        <w:t>。</w:t>
      </w:r>
    </w:p>
    <w:p w14:paraId="474311B9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lastRenderedPageBreak/>
        <w:drawing>
          <wp:anchor distT="0" distB="0" distL="0" distR="0" simplePos="0" relativeHeight="8" behindDoc="0" locked="0" layoutInCell="1" allowOverlap="1" wp14:anchorId="2FFE446A" wp14:editId="48937092">
            <wp:simplePos x="0" y="0"/>
            <wp:positionH relativeFrom="column">
              <wp:posOffset>1006475</wp:posOffset>
            </wp:positionH>
            <wp:positionV relativeFrom="paragraph">
              <wp:posOffset>471804</wp:posOffset>
            </wp:positionV>
            <wp:extent cx="4376420" cy="2776220"/>
            <wp:effectExtent l="0" t="0" r="5080" b="5080"/>
            <wp:wrapTopAndBottom/>
            <wp:docPr id="103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437642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 w:hint="eastAsia"/>
          <w:szCs w:val="21"/>
        </w:rPr>
        <w:t>图：上周两融资金行业流向（万元）</w:t>
      </w:r>
    </w:p>
    <w:p w14:paraId="730BC058" w14:textId="77777777" w:rsidR="000629FB" w:rsidRDefault="000629FB">
      <w:pPr>
        <w:spacing w:line="360" w:lineRule="auto"/>
        <w:rPr>
          <w:rFonts w:ascii="黑体" w:eastAsia="黑体" w:hAnsi="黑体"/>
          <w:szCs w:val="21"/>
        </w:rPr>
      </w:pPr>
    </w:p>
    <w:p w14:paraId="24DEDD84" w14:textId="77777777" w:rsidR="000629FB" w:rsidRDefault="003020C5">
      <w:pPr>
        <w:spacing w:line="360" w:lineRule="auto"/>
        <w:ind w:firstLineChars="400" w:firstLine="84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鑫元基金</w:t>
      </w:r>
    </w:p>
    <w:p w14:paraId="14E4DA03" w14:textId="77777777" w:rsidR="000629FB" w:rsidRDefault="003020C5">
      <w:pPr>
        <w:spacing w:line="360" w:lineRule="auto"/>
        <w:ind w:firstLine="480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5</w:t>
      </w:r>
      <w:r>
        <w:rPr>
          <w:rFonts w:ascii="楷体" w:eastAsia="楷体" w:hAnsi="楷体" w:hint="eastAsia"/>
          <w:b/>
          <w:bCs/>
          <w:sz w:val="24"/>
          <w:szCs w:val="24"/>
        </w:rPr>
        <w:t>、海外权益市场</w:t>
      </w:r>
    </w:p>
    <w:p w14:paraId="2A8C5C63" w14:textId="77777777" w:rsidR="000629FB" w:rsidRDefault="003020C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</w:t>
      </w:r>
      <w:r>
        <w:rPr>
          <w:rFonts w:ascii="仿宋" w:eastAsia="仿宋" w:hAnsi="仿宋"/>
          <w:b/>
          <w:sz w:val="24"/>
          <w:szCs w:val="24"/>
        </w:rPr>
        <w:t>周海外股市</w:t>
      </w:r>
      <w:r>
        <w:rPr>
          <w:rFonts w:ascii="仿宋" w:eastAsia="仿宋" w:hAnsi="仿宋" w:hint="eastAsia"/>
          <w:b/>
          <w:sz w:val="24"/>
          <w:szCs w:val="24"/>
        </w:rPr>
        <w:t>涨跌不一</w:t>
      </w:r>
      <w:r>
        <w:rPr>
          <w:rFonts w:ascii="仿宋" w:eastAsia="仿宋" w:hAnsi="仿宋"/>
          <w:sz w:val="24"/>
          <w:szCs w:val="24"/>
        </w:rPr>
        <w:t>。美国股市</w:t>
      </w:r>
      <w:r>
        <w:rPr>
          <w:rFonts w:ascii="仿宋" w:eastAsia="仿宋" w:hAnsi="仿宋" w:hint="eastAsia"/>
          <w:sz w:val="24"/>
          <w:szCs w:val="24"/>
        </w:rPr>
        <w:t>方面</w:t>
      </w:r>
      <w:r>
        <w:rPr>
          <w:rFonts w:ascii="仿宋" w:eastAsia="仿宋" w:hAnsi="仿宋"/>
          <w:sz w:val="24"/>
          <w:szCs w:val="24"/>
        </w:rPr>
        <w:t>，道指</w:t>
      </w:r>
      <w:r>
        <w:rPr>
          <w:rFonts w:ascii="仿宋" w:eastAsia="仿宋" w:hAnsi="仿宋" w:hint="eastAsia"/>
          <w:sz w:val="24"/>
          <w:szCs w:val="24"/>
        </w:rPr>
        <w:t>上涨</w:t>
      </w:r>
      <w:r>
        <w:rPr>
          <w:rFonts w:ascii="仿宋" w:eastAsia="仿宋" w:hAnsi="仿宋"/>
          <w:sz w:val="24"/>
          <w:szCs w:val="24"/>
        </w:rPr>
        <w:t>1.43%</w:t>
      </w:r>
      <w:r>
        <w:rPr>
          <w:rFonts w:ascii="仿宋" w:eastAsia="仿宋" w:hAnsi="仿宋"/>
          <w:sz w:val="24"/>
          <w:szCs w:val="24"/>
        </w:rPr>
        <w:t>，标普</w:t>
      </w: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上涨</w:t>
      </w:r>
      <w:r>
        <w:rPr>
          <w:rFonts w:ascii="仿宋" w:eastAsia="仿宋" w:hAnsi="仿宋"/>
          <w:sz w:val="24"/>
          <w:szCs w:val="24"/>
        </w:rPr>
        <w:t>1.38%</w:t>
      </w:r>
      <w:r>
        <w:rPr>
          <w:rFonts w:ascii="仿宋" w:eastAsia="仿宋" w:hAnsi="仿宋"/>
          <w:sz w:val="24"/>
          <w:szCs w:val="24"/>
        </w:rPr>
        <w:t>，纳指</w:t>
      </w:r>
      <w:r>
        <w:rPr>
          <w:rFonts w:ascii="仿宋" w:eastAsia="仿宋" w:hAnsi="仿宋" w:hint="eastAsia"/>
          <w:sz w:val="24"/>
          <w:szCs w:val="24"/>
        </w:rPr>
        <w:t>上涨</w:t>
      </w:r>
      <w:r>
        <w:rPr>
          <w:rFonts w:ascii="仿宋" w:eastAsia="仿宋" w:hAnsi="仿宋"/>
          <w:sz w:val="24"/>
          <w:szCs w:val="24"/>
        </w:rPr>
        <w:t>1.12%</w:t>
      </w:r>
      <w:r>
        <w:rPr>
          <w:rFonts w:ascii="仿宋" w:eastAsia="仿宋" w:hAnsi="仿宋"/>
          <w:sz w:val="24"/>
          <w:szCs w:val="24"/>
        </w:rPr>
        <w:t>；欧洲股市方面，英国富时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下跌</w:t>
      </w:r>
      <w:r>
        <w:rPr>
          <w:rFonts w:ascii="仿宋" w:eastAsia="仿宋" w:hAnsi="仿宋" w:hint="eastAsia"/>
          <w:sz w:val="24"/>
          <w:szCs w:val="24"/>
        </w:rPr>
        <w:t>0</w:t>
      </w:r>
      <w:r>
        <w:rPr>
          <w:rFonts w:ascii="仿宋" w:eastAsia="仿宋" w:hAnsi="仿宋"/>
          <w:sz w:val="24"/>
          <w:szCs w:val="24"/>
        </w:rPr>
        <w:t>.26%</w:t>
      </w:r>
      <w:r>
        <w:rPr>
          <w:rFonts w:ascii="仿宋" w:eastAsia="仿宋" w:hAnsi="仿宋"/>
          <w:sz w:val="24"/>
          <w:szCs w:val="24"/>
        </w:rPr>
        <w:t>，德国</w:t>
      </w:r>
      <w:r>
        <w:rPr>
          <w:rFonts w:ascii="仿宋" w:eastAsia="仿宋" w:hAnsi="仿宋"/>
          <w:sz w:val="24"/>
          <w:szCs w:val="24"/>
        </w:rPr>
        <w:t>DAX</w:t>
      </w:r>
      <w:r>
        <w:rPr>
          <w:rFonts w:ascii="仿宋" w:eastAsia="仿宋" w:hAnsi="仿宋" w:hint="eastAsia"/>
          <w:sz w:val="24"/>
          <w:szCs w:val="24"/>
        </w:rPr>
        <w:t>下跌</w:t>
      </w:r>
      <w:r>
        <w:rPr>
          <w:rFonts w:ascii="仿宋" w:eastAsia="仿宋" w:hAnsi="仿宋" w:hint="eastAsia"/>
          <w:sz w:val="24"/>
          <w:szCs w:val="24"/>
        </w:rPr>
        <w:t>0</w:t>
      </w:r>
      <w:r>
        <w:rPr>
          <w:rFonts w:ascii="仿宋" w:eastAsia="仿宋" w:hAnsi="仿宋"/>
          <w:sz w:val="24"/>
          <w:szCs w:val="24"/>
        </w:rPr>
        <w:t>.25%</w:t>
      </w:r>
      <w:r>
        <w:rPr>
          <w:rFonts w:ascii="仿宋" w:eastAsia="仿宋" w:hAnsi="仿宋"/>
          <w:sz w:val="24"/>
          <w:szCs w:val="24"/>
        </w:rPr>
        <w:t>，法国</w:t>
      </w:r>
      <w:r>
        <w:rPr>
          <w:rFonts w:ascii="仿宋" w:eastAsia="仿宋" w:hAnsi="仿宋"/>
          <w:sz w:val="24"/>
          <w:szCs w:val="24"/>
        </w:rPr>
        <w:t>CAC40</w:t>
      </w:r>
      <w:r>
        <w:rPr>
          <w:rFonts w:ascii="仿宋" w:eastAsia="仿宋" w:hAnsi="仿宋" w:hint="eastAsia"/>
          <w:sz w:val="24"/>
          <w:szCs w:val="24"/>
        </w:rPr>
        <w:t>下跌</w:t>
      </w:r>
      <w:r>
        <w:rPr>
          <w:rFonts w:ascii="仿宋" w:eastAsia="仿宋" w:hAnsi="仿宋"/>
          <w:sz w:val="24"/>
          <w:szCs w:val="24"/>
        </w:rPr>
        <w:t>0.55</w:t>
      </w:r>
      <w:r>
        <w:rPr>
          <w:rFonts w:ascii="仿宋" w:eastAsia="仿宋" w:hAnsi="仿宋" w:hint="eastAsia"/>
          <w:sz w:val="24"/>
          <w:szCs w:val="24"/>
        </w:rPr>
        <w:t>%</w:t>
      </w:r>
      <w:r>
        <w:rPr>
          <w:rFonts w:ascii="仿宋" w:eastAsia="仿宋" w:hAnsi="仿宋"/>
          <w:sz w:val="24"/>
          <w:szCs w:val="24"/>
        </w:rPr>
        <w:t>；亚太股市方面，日经指</w:t>
      </w:r>
      <w:r>
        <w:rPr>
          <w:rFonts w:ascii="仿宋" w:eastAsia="仿宋" w:hAnsi="仿宋" w:hint="eastAsia"/>
          <w:sz w:val="24"/>
          <w:szCs w:val="24"/>
        </w:rPr>
        <w:t>数上涨</w:t>
      </w:r>
      <w:r>
        <w:rPr>
          <w:rFonts w:ascii="仿宋" w:eastAsia="仿宋" w:hAnsi="仿宋"/>
          <w:sz w:val="24"/>
          <w:szCs w:val="24"/>
        </w:rPr>
        <w:t>1.14%</w:t>
      </w:r>
      <w:r>
        <w:rPr>
          <w:rFonts w:ascii="仿宋" w:eastAsia="仿宋" w:hAnsi="仿宋"/>
          <w:sz w:val="24"/>
          <w:szCs w:val="24"/>
        </w:rPr>
        <w:t>，恒生指数</w:t>
      </w:r>
      <w:r>
        <w:rPr>
          <w:rFonts w:ascii="仿宋" w:eastAsia="仿宋" w:hAnsi="仿宋" w:hint="eastAsia"/>
          <w:sz w:val="24"/>
          <w:szCs w:val="24"/>
        </w:rPr>
        <w:t>下跌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.62%</w:t>
      </w:r>
      <w:r>
        <w:rPr>
          <w:rFonts w:ascii="仿宋" w:eastAsia="仿宋" w:hAnsi="仿宋"/>
          <w:sz w:val="24"/>
          <w:szCs w:val="24"/>
        </w:rPr>
        <w:t>。</w:t>
      </w:r>
    </w:p>
    <w:p w14:paraId="65C11DC0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/>
          <w:szCs w:val="21"/>
        </w:rPr>
        <w:t>1</w:t>
      </w:r>
      <w:r>
        <w:rPr>
          <w:rFonts w:ascii="黑体" w:eastAsia="黑体" w:hAnsi="黑体" w:hint="eastAsia"/>
          <w:szCs w:val="21"/>
        </w:rPr>
        <w:t>：</w:t>
      </w:r>
      <w:r>
        <w:rPr>
          <w:rFonts w:ascii="黑体" w:eastAsia="黑体" w:hAnsi="黑体"/>
          <w:szCs w:val="21"/>
        </w:rPr>
        <w:t>上</w:t>
      </w:r>
      <w:r>
        <w:rPr>
          <w:rFonts w:ascii="黑体" w:eastAsia="黑体" w:hAnsi="黑体" w:hint="eastAsia"/>
          <w:szCs w:val="21"/>
        </w:rPr>
        <w:t>周海外主要指数涨跌</w:t>
      </w:r>
      <w:bookmarkStart w:id="0" w:name="_Hlk128312421"/>
    </w:p>
    <w:p w14:paraId="3C9F3C25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anchor distT="0" distB="0" distL="0" distR="0" simplePos="0" relativeHeight="9" behindDoc="0" locked="0" layoutInCell="1" allowOverlap="1" wp14:anchorId="5B52779D" wp14:editId="05C3B56E">
            <wp:simplePos x="0" y="0"/>
            <wp:positionH relativeFrom="column">
              <wp:posOffset>1251585</wp:posOffset>
            </wp:positionH>
            <wp:positionV relativeFrom="paragraph">
              <wp:posOffset>308610</wp:posOffset>
            </wp:positionV>
            <wp:extent cx="3916680" cy="2049145"/>
            <wp:effectExtent l="0" t="0" r="7620" b="8255"/>
            <wp:wrapTopAndBottom/>
            <wp:docPr id="1035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391668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338C6" w14:textId="77777777" w:rsidR="000629FB" w:rsidRDefault="003020C5">
      <w:pPr>
        <w:spacing w:line="360" w:lineRule="auto"/>
        <w:ind w:firstLineChars="400" w:firstLine="84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、鑫元基金</w:t>
      </w:r>
      <w:bookmarkEnd w:id="0"/>
    </w:p>
    <w:p w14:paraId="1935DBE6" w14:textId="77777777" w:rsidR="000629FB" w:rsidRDefault="003020C5">
      <w:pPr>
        <w:spacing w:line="360" w:lineRule="auto"/>
        <w:ind w:firstLine="480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（二）资金市场</w:t>
      </w:r>
    </w:p>
    <w:p w14:paraId="4241C379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公开市场操作：</w:t>
      </w:r>
      <w:r>
        <w:rPr>
          <w:rFonts w:ascii="仿宋" w:eastAsia="仿宋" w:hAnsi="仿宋" w:hint="eastAsia"/>
          <w:bCs/>
          <w:sz w:val="24"/>
          <w:szCs w:val="24"/>
        </w:rPr>
        <w:t>上周央行进行</w:t>
      </w:r>
      <w:r>
        <w:rPr>
          <w:rFonts w:ascii="仿宋" w:eastAsia="仿宋" w:hAnsi="仿宋" w:hint="eastAsia"/>
          <w:bCs/>
          <w:sz w:val="24"/>
          <w:szCs w:val="24"/>
        </w:rPr>
        <w:t>17470</w:t>
      </w:r>
      <w:r>
        <w:rPr>
          <w:rFonts w:ascii="仿宋" w:eastAsia="仿宋" w:hAnsi="仿宋" w:hint="eastAsia"/>
          <w:bCs/>
          <w:sz w:val="24"/>
          <w:szCs w:val="24"/>
        </w:rPr>
        <w:t>亿元逆回购操作，因有</w:t>
      </w:r>
      <w:r>
        <w:rPr>
          <w:rFonts w:ascii="仿宋" w:eastAsia="仿宋" w:hAnsi="仿宋" w:hint="eastAsia"/>
          <w:bCs/>
          <w:sz w:val="24"/>
          <w:szCs w:val="24"/>
        </w:rPr>
        <w:t>19770</w:t>
      </w:r>
      <w:r>
        <w:rPr>
          <w:rFonts w:ascii="仿宋" w:eastAsia="仿宋" w:hAnsi="仿宋" w:hint="eastAsia"/>
          <w:bCs/>
          <w:sz w:val="24"/>
          <w:szCs w:val="24"/>
        </w:rPr>
        <w:t>亿元逆回购到期，实现净回笼</w:t>
      </w:r>
      <w:r>
        <w:rPr>
          <w:rFonts w:ascii="仿宋" w:eastAsia="仿宋" w:hAnsi="仿宋" w:hint="eastAsia"/>
          <w:bCs/>
          <w:sz w:val="24"/>
          <w:szCs w:val="24"/>
        </w:rPr>
        <w:t>2300</w:t>
      </w:r>
      <w:r>
        <w:rPr>
          <w:rFonts w:ascii="仿宋" w:eastAsia="仿宋" w:hAnsi="仿宋" w:hint="eastAsia"/>
          <w:bCs/>
          <w:sz w:val="24"/>
          <w:szCs w:val="24"/>
        </w:rPr>
        <w:t>亿元。</w:t>
      </w:r>
    </w:p>
    <w:p w14:paraId="6FF4C648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图</w:t>
      </w: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/>
          <w:szCs w:val="21"/>
        </w:rPr>
        <w:t>2</w:t>
      </w:r>
      <w:r>
        <w:rPr>
          <w:rFonts w:ascii="黑体" w:eastAsia="黑体" w:hAnsi="黑体" w:hint="eastAsia"/>
          <w:szCs w:val="21"/>
        </w:rPr>
        <w:t>：</w:t>
      </w:r>
      <w:r>
        <w:rPr>
          <w:rFonts w:ascii="黑体" w:eastAsia="黑体" w:hAnsi="黑体"/>
          <w:szCs w:val="21"/>
        </w:rPr>
        <w:t>上</w:t>
      </w:r>
      <w:r>
        <w:rPr>
          <w:rFonts w:ascii="黑体" w:eastAsia="黑体" w:hAnsi="黑体" w:hint="eastAsia"/>
          <w:szCs w:val="21"/>
        </w:rPr>
        <w:t>周公开市场操作情况</w:t>
      </w:r>
    </w:p>
    <w:p w14:paraId="1C67A362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noProof/>
        </w:rPr>
        <w:drawing>
          <wp:inline distT="0" distB="0" distL="0" distR="0" wp14:anchorId="4013E5F2" wp14:editId="56695C77">
            <wp:extent cx="4713517" cy="2491699"/>
            <wp:effectExtent l="0" t="0" r="0" b="4445"/>
            <wp:docPr id="103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4713517" cy="249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39761" w14:textId="77777777" w:rsidR="000629FB" w:rsidRDefault="003020C5">
      <w:pPr>
        <w:spacing w:line="360" w:lineRule="auto"/>
        <w:ind w:firstLineChars="400" w:firstLine="84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、鑫元基金</w:t>
      </w:r>
    </w:p>
    <w:p w14:paraId="72034797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政府债发行：</w:t>
      </w:r>
      <w:r>
        <w:rPr>
          <w:rFonts w:ascii="仿宋" w:eastAsia="仿宋" w:hAnsi="仿宋" w:hint="eastAsia"/>
          <w:bCs/>
          <w:sz w:val="24"/>
          <w:szCs w:val="24"/>
        </w:rPr>
        <w:t>本周国债计划发行</w:t>
      </w:r>
      <w:r>
        <w:rPr>
          <w:rFonts w:ascii="仿宋" w:eastAsia="仿宋" w:hAnsi="仿宋" w:hint="eastAsia"/>
          <w:bCs/>
          <w:sz w:val="24"/>
          <w:szCs w:val="24"/>
        </w:rPr>
        <w:t>1900</w:t>
      </w:r>
      <w:r>
        <w:rPr>
          <w:rFonts w:ascii="仿宋" w:eastAsia="仿宋" w:hAnsi="仿宋" w:hint="eastAsia"/>
          <w:bCs/>
          <w:sz w:val="24"/>
          <w:szCs w:val="24"/>
        </w:rPr>
        <w:t>亿元，地方政府债计划发行</w:t>
      </w:r>
      <w:r>
        <w:rPr>
          <w:rFonts w:ascii="仿宋" w:eastAsia="仿宋" w:hAnsi="仿宋" w:hint="eastAsia"/>
          <w:bCs/>
          <w:sz w:val="24"/>
          <w:szCs w:val="24"/>
        </w:rPr>
        <w:t>1788.5</w:t>
      </w:r>
      <w:r>
        <w:rPr>
          <w:rFonts w:ascii="仿宋" w:eastAsia="仿宋" w:hAnsi="仿宋" w:hint="eastAsia"/>
          <w:bCs/>
          <w:sz w:val="24"/>
          <w:szCs w:val="24"/>
        </w:rPr>
        <w:t>亿元，整体净缴款</w:t>
      </w:r>
      <w:r>
        <w:rPr>
          <w:rFonts w:ascii="仿宋" w:eastAsia="仿宋" w:hAnsi="仿宋" w:hint="eastAsia"/>
          <w:bCs/>
          <w:sz w:val="24"/>
          <w:szCs w:val="24"/>
        </w:rPr>
        <w:t>2241.7</w:t>
      </w:r>
      <w:r>
        <w:rPr>
          <w:rFonts w:ascii="仿宋" w:eastAsia="仿宋" w:hAnsi="仿宋" w:hint="eastAsia"/>
          <w:bCs/>
          <w:sz w:val="24"/>
          <w:szCs w:val="24"/>
        </w:rPr>
        <w:t>亿元。</w:t>
      </w:r>
    </w:p>
    <w:p w14:paraId="02DE6684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</w:t>
      </w: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：</w:t>
      </w:r>
      <w:r>
        <w:rPr>
          <w:rFonts w:ascii="黑体" w:eastAsia="黑体" w:hAnsi="黑体"/>
          <w:szCs w:val="21"/>
        </w:rPr>
        <w:t>2</w:t>
      </w:r>
      <w:r>
        <w:rPr>
          <w:rFonts w:ascii="黑体" w:eastAsia="黑体" w:hAnsi="黑体" w:hint="eastAsia"/>
          <w:szCs w:val="21"/>
        </w:rPr>
        <w:t>月</w:t>
      </w:r>
      <w:r>
        <w:rPr>
          <w:rFonts w:ascii="黑体" w:eastAsia="黑体" w:hAnsi="黑体"/>
          <w:szCs w:val="21"/>
        </w:rPr>
        <w:t>5</w:t>
      </w:r>
      <w:r>
        <w:rPr>
          <w:rFonts w:ascii="黑体" w:eastAsia="黑体" w:hAnsi="黑体" w:hint="eastAsia"/>
          <w:szCs w:val="21"/>
        </w:rPr>
        <w:t>日</w:t>
      </w:r>
      <w:r>
        <w:rPr>
          <w:rFonts w:ascii="黑体" w:eastAsia="黑体" w:hAnsi="黑体" w:hint="eastAsia"/>
          <w:szCs w:val="21"/>
        </w:rPr>
        <w:t>-</w:t>
      </w:r>
      <w:r>
        <w:rPr>
          <w:rFonts w:ascii="黑体" w:eastAsia="黑体" w:hAnsi="黑体"/>
          <w:szCs w:val="21"/>
        </w:rPr>
        <w:t>2</w:t>
      </w:r>
      <w:r>
        <w:rPr>
          <w:rFonts w:ascii="黑体" w:eastAsia="黑体" w:hAnsi="黑体" w:hint="eastAsia"/>
          <w:szCs w:val="21"/>
        </w:rPr>
        <w:t>月</w:t>
      </w:r>
      <w:r>
        <w:rPr>
          <w:rFonts w:ascii="黑体" w:eastAsia="黑体" w:hAnsi="黑体"/>
          <w:szCs w:val="21"/>
        </w:rPr>
        <w:t>9</w:t>
      </w:r>
      <w:r>
        <w:rPr>
          <w:rFonts w:ascii="黑体" w:eastAsia="黑体" w:hAnsi="黑体" w:hint="eastAsia"/>
          <w:szCs w:val="21"/>
        </w:rPr>
        <w:t>日政府债发行缴款</w:t>
      </w:r>
    </w:p>
    <w:p w14:paraId="290F96C5" w14:textId="77777777" w:rsidR="000629FB" w:rsidRDefault="003020C5">
      <w:pPr>
        <w:ind w:right="630"/>
        <w:jc w:val="righ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单位：亿元</w:t>
      </w:r>
    </w:p>
    <w:tbl>
      <w:tblPr>
        <w:tblStyle w:val="2-221"/>
        <w:tblW w:w="8931" w:type="dxa"/>
        <w:jc w:val="center"/>
        <w:tblLook w:val="04A0" w:firstRow="1" w:lastRow="0" w:firstColumn="1" w:lastColumn="0" w:noHBand="0" w:noVBand="1"/>
      </w:tblPr>
      <w:tblGrid>
        <w:gridCol w:w="852"/>
        <w:gridCol w:w="781"/>
        <w:gridCol w:w="802"/>
        <w:gridCol w:w="688"/>
        <w:gridCol w:w="802"/>
        <w:gridCol w:w="756"/>
        <w:gridCol w:w="843"/>
        <w:gridCol w:w="886"/>
        <w:gridCol w:w="832"/>
        <w:gridCol w:w="716"/>
        <w:gridCol w:w="973"/>
      </w:tblGrid>
      <w:tr w:rsidR="000629FB" w14:paraId="5F9A5664" w14:textId="77777777" w:rsidTr="00062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Merge w:val="restart"/>
            <w:tcBorders>
              <w:top w:val="single" w:sz="4" w:space="0" w:color="F7CAAC"/>
              <w:right w:val="single" w:sz="4" w:space="0" w:color="F7CAAC"/>
            </w:tcBorders>
            <w:shd w:val="clear" w:color="auto" w:fill="FBE4D5"/>
          </w:tcPr>
          <w:p w14:paraId="5617BB9D" w14:textId="77777777" w:rsidR="000629FB" w:rsidRDefault="000629FB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F7CAAC"/>
              <w:left w:val="single" w:sz="4" w:space="0" w:color="F7CAAC"/>
              <w:right w:val="single" w:sz="4" w:space="0" w:color="F7CAAC"/>
            </w:tcBorders>
          </w:tcPr>
          <w:p w14:paraId="678561C8" w14:textId="77777777" w:rsidR="000629FB" w:rsidRDefault="00302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490" w:type="dxa"/>
            <w:gridSpan w:val="2"/>
            <w:tcBorders>
              <w:top w:val="single" w:sz="4" w:space="0" w:color="F7CAAC"/>
              <w:left w:val="single" w:sz="4" w:space="0" w:color="F7CAAC"/>
              <w:right w:val="single" w:sz="4" w:space="0" w:color="F7CAAC"/>
            </w:tcBorders>
          </w:tcPr>
          <w:p w14:paraId="03051724" w14:textId="77777777" w:rsidR="000629FB" w:rsidRDefault="00302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599" w:type="dxa"/>
            <w:gridSpan w:val="2"/>
            <w:tcBorders>
              <w:top w:val="single" w:sz="4" w:space="0" w:color="F7CAAC"/>
              <w:left w:val="single" w:sz="4" w:space="0" w:color="F7CAAC"/>
              <w:right w:val="single" w:sz="4" w:space="0" w:color="F7CAAC"/>
            </w:tcBorders>
          </w:tcPr>
          <w:p w14:paraId="75557F9D" w14:textId="77777777" w:rsidR="000629FB" w:rsidRDefault="00302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718" w:type="dxa"/>
            <w:gridSpan w:val="2"/>
            <w:tcBorders>
              <w:top w:val="single" w:sz="4" w:space="0" w:color="F7CAAC"/>
              <w:left w:val="single" w:sz="4" w:space="0" w:color="F7CAAC"/>
              <w:right w:val="single" w:sz="4" w:space="0" w:color="F7CAAC"/>
            </w:tcBorders>
          </w:tcPr>
          <w:p w14:paraId="6C0DAB70" w14:textId="77777777" w:rsidR="000629FB" w:rsidRDefault="00302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689" w:type="dxa"/>
            <w:gridSpan w:val="2"/>
            <w:tcBorders>
              <w:top w:val="single" w:sz="4" w:space="0" w:color="F7CAAC"/>
              <w:left w:val="single" w:sz="4" w:space="0" w:color="F7CAAC"/>
              <w:right w:val="single" w:sz="4" w:space="0" w:color="F7CAAC"/>
            </w:tcBorders>
          </w:tcPr>
          <w:p w14:paraId="6376CCC4" w14:textId="77777777" w:rsidR="000629FB" w:rsidRDefault="00302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</w:tr>
      <w:tr w:rsidR="000629FB" w14:paraId="112AA3CB" w14:textId="77777777" w:rsidTr="00062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Merge/>
            <w:shd w:val="clear" w:color="auto" w:fill="FBE4D5"/>
          </w:tcPr>
          <w:p w14:paraId="3EF11657" w14:textId="77777777" w:rsidR="000629FB" w:rsidRDefault="000629FB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81" w:type="dxa"/>
            <w:shd w:val="clear" w:color="auto" w:fill="FBE4D5"/>
          </w:tcPr>
          <w:p w14:paraId="41F2E38B" w14:textId="77777777" w:rsidR="000629FB" w:rsidRDefault="0030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</w:rPr>
            </w:pPr>
            <w:r>
              <w:rPr>
                <w:rFonts w:hint="eastAsia"/>
              </w:rPr>
              <w:t>国债</w:t>
            </w:r>
          </w:p>
        </w:tc>
        <w:tc>
          <w:tcPr>
            <w:tcW w:w="802" w:type="dxa"/>
            <w:shd w:val="clear" w:color="auto" w:fill="FBE4D5"/>
          </w:tcPr>
          <w:p w14:paraId="1E102078" w14:textId="77777777" w:rsidR="000629FB" w:rsidRDefault="0030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地方债</w:t>
            </w:r>
          </w:p>
        </w:tc>
        <w:tc>
          <w:tcPr>
            <w:tcW w:w="688" w:type="dxa"/>
            <w:shd w:val="clear" w:color="auto" w:fill="FBE4D5"/>
          </w:tcPr>
          <w:p w14:paraId="6BBA4E51" w14:textId="77777777" w:rsidR="000629FB" w:rsidRDefault="0030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</w:rPr>
            </w:pPr>
            <w:r>
              <w:rPr>
                <w:rFonts w:hint="eastAsia"/>
              </w:rPr>
              <w:t>国债</w:t>
            </w:r>
          </w:p>
        </w:tc>
        <w:tc>
          <w:tcPr>
            <w:tcW w:w="802" w:type="dxa"/>
            <w:shd w:val="clear" w:color="auto" w:fill="FBE4D5"/>
          </w:tcPr>
          <w:p w14:paraId="655B7881" w14:textId="77777777" w:rsidR="000629FB" w:rsidRDefault="0030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</w:rPr>
            </w:pPr>
            <w:r>
              <w:rPr>
                <w:rFonts w:hint="eastAsia"/>
                <w:sz w:val="20"/>
                <w:szCs w:val="21"/>
              </w:rPr>
              <w:t>地方债</w:t>
            </w:r>
          </w:p>
        </w:tc>
        <w:tc>
          <w:tcPr>
            <w:tcW w:w="756" w:type="dxa"/>
            <w:shd w:val="clear" w:color="auto" w:fill="FBE4D5"/>
          </w:tcPr>
          <w:p w14:paraId="012AC91B" w14:textId="77777777" w:rsidR="000629FB" w:rsidRDefault="0030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</w:rPr>
            </w:pPr>
            <w:r>
              <w:rPr>
                <w:rFonts w:hint="eastAsia"/>
              </w:rPr>
              <w:t>国债</w:t>
            </w:r>
          </w:p>
        </w:tc>
        <w:tc>
          <w:tcPr>
            <w:tcW w:w="843" w:type="dxa"/>
            <w:shd w:val="clear" w:color="auto" w:fill="FBE4D5"/>
          </w:tcPr>
          <w:p w14:paraId="6171B4EC" w14:textId="77777777" w:rsidR="000629FB" w:rsidRDefault="0030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</w:rPr>
            </w:pPr>
            <w:r>
              <w:rPr>
                <w:rFonts w:hint="eastAsia"/>
                <w:sz w:val="20"/>
                <w:szCs w:val="21"/>
              </w:rPr>
              <w:t>地方债</w:t>
            </w:r>
          </w:p>
        </w:tc>
        <w:tc>
          <w:tcPr>
            <w:tcW w:w="886" w:type="dxa"/>
            <w:shd w:val="clear" w:color="auto" w:fill="FBE4D5"/>
          </w:tcPr>
          <w:p w14:paraId="6236B0B4" w14:textId="77777777" w:rsidR="000629FB" w:rsidRDefault="0030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</w:rPr>
            </w:pPr>
            <w:r>
              <w:rPr>
                <w:rFonts w:hint="eastAsia"/>
              </w:rPr>
              <w:t>国债</w:t>
            </w:r>
          </w:p>
        </w:tc>
        <w:tc>
          <w:tcPr>
            <w:tcW w:w="832" w:type="dxa"/>
            <w:shd w:val="clear" w:color="auto" w:fill="FBE4D5"/>
          </w:tcPr>
          <w:p w14:paraId="6725CF11" w14:textId="77777777" w:rsidR="000629FB" w:rsidRDefault="0030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</w:rPr>
            </w:pPr>
            <w:r>
              <w:rPr>
                <w:rFonts w:hint="eastAsia"/>
                <w:sz w:val="20"/>
                <w:szCs w:val="21"/>
              </w:rPr>
              <w:t>地方债</w:t>
            </w:r>
          </w:p>
        </w:tc>
        <w:tc>
          <w:tcPr>
            <w:tcW w:w="716" w:type="dxa"/>
            <w:shd w:val="clear" w:color="auto" w:fill="FBE4D5"/>
          </w:tcPr>
          <w:p w14:paraId="3085ABAC" w14:textId="77777777" w:rsidR="000629FB" w:rsidRDefault="0030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国债</w:t>
            </w:r>
          </w:p>
        </w:tc>
        <w:tc>
          <w:tcPr>
            <w:tcW w:w="973" w:type="dxa"/>
            <w:shd w:val="clear" w:color="auto" w:fill="FBE4D5"/>
          </w:tcPr>
          <w:p w14:paraId="1317BFED" w14:textId="77777777" w:rsidR="000629FB" w:rsidRDefault="00302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sz w:val="20"/>
                <w:szCs w:val="21"/>
              </w:rPr>
              <w:t>地方债</w:t>
            </w:r>
          </w:p>
        </w:tc>
      </w:tr>
      <w:tr w:rsidR="000629FB" w14:paraId="74B7251B" w14:textId="77777777" w:rsidTr="00062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2BDA5B2B" w14:textId="77777777" w:rsidR="000629FB" w:rsidRDefault="003020C5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/>
              </w:rPr>
              <w:t>发行</w:t>
            </w:r>
          </w:p>
        </w:tc>
        <w:tc>
          <w:tcPr>
            <w:tcW w:w="781" w:type="dxa"/>
          </w:tcPr>
          <w:p w14:paraId="72E851D7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0</w:t>
            </w:r>
          </w:p>
        </w:tc>
        <w:tc>
          <w:tcPr>
            <w:tcW w:w="802" w:type="dxa"/>
          </w:tcPr>
          <w:p w14:paraId="5598A169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1317.3</w:t>
            </w:r>
          </w:p>
        </w:tc>
        <w:tc>
          <w:tcPr>
            <w:tcW w:w="688" w:type="dxa"/>
          </w:tcPr>
          <w:p w14:paraId="5B75202B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0</w:t>
            </w:r>
          </w:p>
        </w:tc>
        <w:tc>
          <w:tcPr>
            <w:tcW w:w="802" w:type="dxa"/>
          </w:tcPr>
          <w:p w14:paraId="37600875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471.2</w:t>
            </w:r>
          </w:p>
        </w:tc>
        <w:tc>
          <w:tcPr>
            <w:tcW w:w="756" w:type="dxa"/>
          </w:tcPr>
          <w:p w14:paraId="7A314D7D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1900</w:t>
            </w:r>
          </w:p>
        </w:tc>
        <w:tc>
          <w:tcPr>
            <w:tcW w:w="843" w:type="dxa"/>
          </w:tcPr>
          <w:p w14:paraId="50769E35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0</w:t>
            </w:r>
          </w:p>
        </w:tc>
        <w:tc>
          <w:tcPr>
            <w:tcW w:w="886" w:type="dxa"/>
          </w:tcPr>
          <w:p w14:paraId="71A0435F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0</w:t>
            </w:r>
          </w:p>
        </w:tc>
        <w:tc>
          <w:tcPr>
            <w:tcW w:w="832" w:type="dxa"/>
          </w:tcPr>
          <w:p w14:paraId="2C4597D6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0</w:t>
            </w:r>
          </w:p>
        </w:tc>
        <w:tc>
          <w:tcPr>
            <w:tcW w:w="716" w:type="dxa"/>
          </w:tcPr>
          <w:p w14:paraId="04DEBE31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0</w:t>
            </w:r>
          </w:p>
        </w:tc>
        <w:tc>
          <w:tcPr>
            <w:tcW w:w="973" w:type="dxa"/>
          </w:tcPr>
          <w:p w14:paraId="70332248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0629FB" w14:paraId="5CCB9CB3" w14:textId="77777777" w:rsidTr="00062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shd w:val="clear" w:color="auto" w:fill="FBE4D5"/>
          </w:tcPr>
          <w:p w14:paraId="31176DE0" w14:textId="77777777" w:rsidR="000629FB" w:rsidRDefault="003020C5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/>
              </w:rPr>
              <w:t>到期</w:t>
            </w:r>
          </w:p>
        </w:tc>
        <w:tc>
          <w:tcPr>
            <w:tcW w:w="781" w:type="dxa"/>
          </w:tcPr>
          <w:p w14:paraId="6ADF07F5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1450</w:t>
            </w:r>
          </w:p>
        </w:tc>
        <w:tc>
          <w:tcPr>
            <w:tcW w:w="802" w:type="dxa"/>
          </w:tcPr>
          <w:p w14:paraId="09413D31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0</w:t>
            </w:r>
          </w:p>
        </w:tc>
        <w:tc>
          <w:tcPr>
            <w:tcW w:w="688" w:type="dxa"/>
          </w:tcPr>
          <w:p w14:paraId="26D52598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0</w:t>
            </w:r>
          </w:p>
        </w:tc>
        <w:tc>
          <w:tcPr>
            <w:tcW w:w="802" w:type="dxa"/>
          </w:tcPr>
          <w:p w14:paraId="5A0FF2D0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0</w:t>
            </w:r>
          </w:p>
        </w:tc>
        <w:tc>
          <w:tcPr>
            <w:tcW w:w="756" w:type="dxa"/>
          </w:tcPr>
          <w:p w14:paraId="30E2F10D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0</w:t>
            </w:r>
          </w:p>
        </w:tc>
        <w:tc>
          <w:tcPr>
            <w:tcW w:w="843" w:type="dxa"/>
          </w:tcPr>
          <w:p w14:paraId="0D465140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0</w:t>
            </w:r>
          </w:p>
        </w:tc>
        <w:tc>
          <w:tcPr>
            <w:tcW w:w="886" w:type="dxa"/>
          </w:tcPr>
          <w:p w14:paraId="5DA7A957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1152</w:t>
            </w:r>
          </w:p>
        </w:tc>
        <w:tc>
          <w:tcPr>
            <w:tcW w:w="832" w:type="dxa"/>
          </w:tcPr>
          <w:p w14:paraId="04184514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0</w:t>
            </w:r>
          </w:p>
        </w:tc>
        <w:tc>
          <w:tcPr>
            <w:tcW w:w="716" w:type="dxa"/>
          </w:tcPr>
          <w:p w14:paraId="321EB4E8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0</w:t>
            </w:r>
          </w:p>
        </w:tc>
        <w:tc>
          <w:tcPr>
            <w:tcW w:w="973" w:type="dxa"/>
          </w:tcPr>
          <w:p w14:paraId="5F0EFB4D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0629FB" w14:paraId="5CC3B8CC" w14:textId="77777777" w:rsidTr="00062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0A47762B" w14:textId="77777777" w:rsidR="000629FB" w:rsidRDefault="003020C5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/>
              </w:rPr>
              <w:t>缴款</w:t>
            </w:r>
          </w:p>
        </w:tc>
        <w:tc>
          <w:tcPr>
            <w:tcW w:w="781" w:type="dxa"/>
          </w:tcPr>
          <w:p w14:paraId="728CFBC0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780</w:t>
            </w:r>
          </w:p>
        </w:tc>
        <w:tc>
          <w:tcPr>
            <w:tcW w:w="802" w:type="dxa"/>
          </w:tcPr>
          <w:p w14:paraId="25A2F46E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375.6</w:t>
            </w:r>
          </w:p>
        </w:tc>
        <w:tc>
          <w:tcPr>
            <w:tcW w:w="688" w:type="dxa"/>
          </w:tcPr>
          <w:p w14:paraId="7787E737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0</w:t>
            </w:r>
          </w:p>
        </w:tc>
        <w:tc>
          <w:tcPr>
            <w:tcW w:w="802" w:type="dxa"/>
          </w:tcPr>
          <w:p w14:paraId="33BE1F38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1317.3</w:t>
            </w:r>
          </w:p>
        </w:tc>
        <w:tc>
          <w:tcPr>
            <w:tcW w:w="756" w:type="dxa"/>
          </w:tcPr>
          <w:p w14:paraId="1FC07319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0</w:t>
            </w:r>
          </w:p>
        </w:tc>
        <w:tc>
          <w:tcPr>
            <w:tcW w:w="843" w:type="dxa"/>
          </w:tcPr>
          <w:p w14:paraId="350C520F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471.2</w:t>
            </w:r>
          </w:p>
        </w:tc>
        <w:tc>
          <w:tcPr>
            <w:tcW w:w="886" w:type="dxa"/>
          </w:tcPr>
          <w:p w14:paraId="34B4EA55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1900</w:t>
            </w:r>
          </w:p>
        </w:tc>
        <w:tc>
          <w:tcPr>
            <w:tcW w:w="832" w:type="dxa"/>
          </w:tcPr>
          <w:p w14:paraId="1B8E9367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0</w:t>
            </w:r>
          </w:p>
        </w:tc>
        <w:tc>
          <w:tcPr>
            <w:tcW w:w="716" w:type="dxa"/>
          </w:tcPr>
          <w:p w14:paraId="47B985B3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0</w:t>
            </w:r>
          </w:p>
        </w:tc>
        <w:tc>
          <w:tcPr>
            <w:tcW w:w="973" w:type="dxa"/>
          </w:tcPr>
          <w:p w14:paraId="334AEF1B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0629FB" w14:paraId="5B18E6DE" w14:textId="77777777" w:rsidTr="000629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shd w:val="clear" w:color="auto" w:fill="FBE4D5"/>
          </w:tcPr>
          <w:p w14:paraId="5B9549B7" w14:textId="77777777" w:rsidR="000629FB" w:rsidRDefault="003020C5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/>
              </w:rPr>
              <w:t>净缴款</w:t>
            </w:r>
          </w:p>
        </w:tc>
        <w:tc>
          <w:tcPr>
            <w:tcW w:w="1583" w:type="dxa"/>
            <w:gridSpan w:val="2"/>
          </w:tcPr>
          <w:p w14:paraId="0939E8FF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-294.4</w:t>
            </w:r>
          </w:p>
        </w:tc>
        <w:tc>
          <w:tcPr>
            <w:tcW w:w="1490" w:type="dxa"/>
            <w:gridSpan w:val="2"/>
          </w:tcPr>
          <w:p w14:paraId="0DAC2740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1317.3</w:t>
            </w:r>
          </w:p>
        </w:tc>
        <w:tc>
          <w:tcPr>
            <w:tcW w:w="1599" w:type="dxa"/>
            <w:gridSpan w:val="2"/>
          </w:tcPr>
          <w:p w14:paraId="206A86F6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471.2</w:t>
            </w:r>
          </w:p>
        </w:tc>
        <w:tc>
          <w:tcPr>
            <w:tcW w:w="1718" w:type="dxa"/>
            <w:gridSpan w:val="2"/>
          </w:tcPr>
          <w:p w14:paraId="31C85480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t>747.7</w:t>
            </w:r>
          </w:p>
        </w:tc>
        <w:tc>
          <w:tcPr>
            <w:tcW w:w="1689" w:type="dxa"/>
            <w:gridSpan w:val="2"/>
          </w:tcPr>
          <w:p w14:paraId="6D5E70C3" w14:textId="77777777" w:rsidR="000629FB" w:rsidRDefault="003020C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</w:tbl>
    <w:p w14:paraId="655DC091" w14:textId="77777777" w:rsidR="000629FB" w:rsidRDefault="003020C5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、鑫元基金</w:t>
      </w:r>
    </w:p>
    <w:p w14:paraId="58B1666C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同业存单发行：</w:t>
      </w:r>
      <w:r>
        <w:rPr>
          <w:rFonts w:ascii="仿宋" w:eastAsia="仿宋" w:hAnsi="仿宋" w:hint="eastAsia"/>
          <w:bCs/>
          <w:sz w:val="24"/>
          <w:szCs w:val="24"/>
        </w:rPr>
        <w:t>1</w:t>
      </w:r>
      <w:r>
        <w:rPr>
          <w:rFonts w:ascii="仿宋" w:eastAsia="仿宋" w:hAnsi="仿宋" w:hint="eastAsia"/>
          <w:bCs/>
          <w:sz w:val="24"/>
          <w:szCs w:val="24"/>
        </w:rPr>
        <w:t>月</w:t>
      </w:r>
      <w:r>
        <w:rPr>
          <w:rFonts w:ascii="仿宋" w:eastAsia="仿宋" w:hAnsi="仿宋" w:hint="eastAsia"/>
          <w:bCs/>
          <w:sz w:val="24"/>
          <w:szCs w:val="24"/>
        </w:rPr>
        <w:t>29</w:t>
      </w:r>
      <w:r>
        <w:rPr>
          <w:rFonts w:ascii="仿宋" w:eastAsia="仿宋" w:hAnsi="仿宋" w:hint="eastAsia"/>
          <w:bCs/>
          <w:sz w:val="24"/>
          <w:szCs w:val="24"/>
        </w:rPr>
        <w:t>日</w:t>
      </w:r>
      <w:r>
        <w:rPr>
          <w:rFonts w:ascii="仿宋" w:eastAsia="仿宋" w:hAnsi="仿宋" w:hint="eastAsia"/>
          <w:bCs/>
          <w:sz w:val="24"/>
          <w:szCs w:val="24"/>
        </w:rPr>
        <w:t>-2</w:t>
      </w:r>
      <w:r>
        <w:rPr>
          <w:rFonts w:ascii="仿宋" w:eastAsia="仿宋" w:hAnsi="仿宋" w:hint="eastAsia"/>
          <w:bCs/>
          <w:sz w:val="24"/>
          <w:szCs w:val="24"/>
        </w:rPr>
        <w:t>月</w:t>
      </w:r>
      <w:r>
        <w:rPr>
          <w:rFonts w:ascii="仿宋" w:eastAsia="仿宋" w:hAnsi="仿宋" w:hint="eastAsia"/>
          <w:bCs/>
          <w:sz w:val="24"/>
          <w:szCs w:val="24"/>
        </w:rPr>
        <w:t>2</w:t>
      </w:r>
      <w:r>
        <w:rPr>
          <w:rFonts w:ascii="仿宋" w:eastAsia="仿宋" w:hAnsi="仿宋" w:hint="eastAsia"/>
          <w:bCs/>
          <w:sz w:val="24"/>
          <w:szCs w:val="24"/>
        </w:rPr>
        <w:t>日，同业存单发行</w:t>
      </w:r>
      <w:r>
        <w:rPr>
          <w:rFonts w:ascii="仿宋" w:eastAsia="仿宋" w:hAnsi="仿宋" w:hint="eastAsia"/>
          <w:bCs/>
          <w:sz w:val="24"/>
          <w:szCs w:val="24"/>
        </w:rPr>
        <w:t>3618</w:t>
      </w:r>
      <w:r>
        <w:rPr>
          <w:rFonts w:ascii="仿宋" w:eastAsia="仿宋" w:hAnsi="仿宋" w:hint="eastAsia"/>
          <w:bCs/>
          <w:sz w:val="24"/>
          <w:szCs w:val="24"/>
        </w:rPr>
        <w:t>亿元，净融资</w:t>
      </w:r>
      <w:r>
        <w:rPr>
          <w:rFonts w:ascii="仿宋" w:eastAsia="仿宋" w:hAnsi="仿宋" w:hint="eastAsia"/>
          <w:bCs/>
          <w:sz w:val="24"/>
          <w:szCs w:val="24"/>
        </w:rPr>
        <w:t>339</w:t>
      </w:r>
      <w:r>
        <w:rPr>
          <w:rFonts w:ascii="仿宋" w:eastAsia="仿宋" w:hAnsi="仿宋" w:hint="eastAsia"/>
          <w:bCs/>
          <w:sz w:val="24"/>
          <w:szCs w:val="24"/>
        </w:rPr>
        <w:t>亿元，前一周净融资为</w:t>
      </w:r>
      <w:r>
        <w:rPr>
          <w:rFonts w:ascii="仿宋" w:eastAsia="仿宋" w:hAnsi="仿宋" w:hint="eastAsia"/>
          <w:bCs/>
          <w:sz w:val="24"/>
          <w:szCs w:val="24"/>
        </w:rPr>
        <w:t>2032</w:t>
      </w:r>
      <w:r>
        <w:rPr>
          <w:rFonts w:ascii="仿宋" w:eastAsia="仿宋" w:hAnsi="仿宋" w:hint="eastAsia"/>
          <w:bCs/>
          <w:sz w:val="24"/>
          <w:szCs w:val="24"/>
        </w:rPr>
        <w:t>亿元。未来三周，同业存单分别到期</w:t>
      </w:r>
      <w:r>
        <w:rPr>
          <w:rFonts w:ascii="仿宋" w:eastAsia="仿宋" w:hAnsi="仿宋" w:hint="eastAsia"/>
          <w:bCs/>
          <w:sz w:val="24"/>
          <w:szCs w:val="24"/>
        </w:rPr>
        <w:t>5651</w:t>
      </w:r>
      <w:r>
        <w:rPr>
          <w:rFonts w:ascii="仿宋" w:eastAsia="仿宋" w:hAnsi="仿宋" w:hint="eastAsia"/>
          <w:bCs/>
          <w:sz w:val="24"/>
          <w:szCs w:val="24"/>
        </w:rPr>
        <w:t>亿元、</w:t>
      </w:r>
      <w:r>
        <w:rPr>
          <w:rFonts w:ascii="仿宋" w:eastAsia="仿宋" w:hAnsi="仿宋" w:hint="eastAsia"/>
          <w:bCs/>
          <w:sz w:val="24"/>
          <w:szCs w:val="24"/>
        </w:rPr>
        <w:t>1574</w:t>
      </w:r>
      <w:r>
        <w:rPr>
          <w:rFonts w:ascii="仿宋" w:eastAsia="仿宋" w:hAnsi="仿宋" w:hint="eastAsia"/>
          <w:bCs/>
          <w:sz w:val="24"/>
          <w:szCs w:val="24"/>
        </w:rPr>
        <w:t>亿元和</w:t>
      </w:r>
      <w:r>
        <w:rPr>
          <w:rFonts w:ascii="仿宋" w:eastAsia="仿宋" w:hAnsi="仿宋" w:hint="eastAsia"/>
          <w:bCs/>
          <w:sz w:val="24"/>
          <w:szCs w:val="24"/>
        </w:rPr>
        <w:t>4881</w:t>
      </w:r>
      <w:r>
        <w:rPr>
          <w:rFonts w:ascii="仿宋" w:eastAsia="仿宋" w:hAnsi="仿宋" w:hint="eastAsia"/>
          <w:bCs/>
          <w:sz w:val="24"/>
          <w:szCs w:val="24"/>
        </w:rPr>
        <w:t>亿元，整体来看到期压力不大。</w:t>
      </w:r>
    </w:p>
    <w:p w14:paraId="28B31EB8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/>
          <w:szCs w:val="21"/>
        </w:rPr>
        <w:t>3</w:t>
      </w:r>
      <w:r>
        <w:rPr>
          <w:rFonts w:ascii="黑体" w:eastAsia="黑体" w:hAnsi="黑体" w:hint="eastAsia"/>
          <w:szCs w:val="21"/>
        </w:rPr>
        <w:t>：同业存单到期与发行</w:t>
      </w:r>
    </w:p>
    <w:p w14:paraId="7AAE3861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noProof/>
        </w:rPr>
        <w:lastRenderedPageBreak/>
        <w:drawing>
          <wp:inline distT="0" distB="0" distL="0" distR="0" wp14:anchorId="230D1C1F" wp14:editId="48FC9166">
            <wp:extent cx="4584700" cy="2554506"/>
            <wp:effectExtent l="0" t="0" r="6350" b="0"/>
            <wp:docPr id="1037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4584700" cy="255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5E2A5" w14:textId="77777777" w:rsidR="000629FB" w:rsidRDefault="003020C5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、鑫元基金</w:t>
      </w:r>
    </w:p>
    <w:p w14:paraId="44C47BBA" w14:textId="6FAC5324" w:rsidR="000629FB" w:rsidRDefault="003020C5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回购市场：</w:t>
      </w:r>
      <w:r>
        <w:rPr>
          <w:rFonts w:ascii="仿宋" w:eastAsia="仿宋" w:hAnsi="仿宋" w:hint="eastAsia"/>
          <w:bCs/>
          <w:sz w:val="24"/>
          <w:szCs w:val="24"/>
        </w:rPr>
        <w:t>宽松跨月，支持跨春节的资金也维持较宽松状态。具体而言，</w:t>
      </w:r>
      <w:r>
        <w:rPr>
          <w:rFonts w:ascii="仿宋" w:eastAsia="仿宋" w:hAnsi="仿宋" w:hint="eastAsia"/>
          <w:bCs/>
          <w:sz w:val="24"/>
          <w:szCs w:val="24"/>
        </w:rPr>
        <w:t>DR001</w:t>
      </w:r>
      <w:r>
        <w:rPr>
          <w:rFonts w:ascii="仿宋" w:eastAsia="仿宋" w:hAnsi="仿宋" w:hint="eastAsia"/>
          <w:bCs/>
          <w:sz w:val="24"/>
          <w:szCs w:val="24"/>
        </w:rPr>
        <w:t>基本在</w:t>
      </w:r>
      <w:r>
        <w:rPr>
          <w:rFonts w:ascii="仿宋" w:eastAsia="仿宋" w:hAnsi="仿宋" w:hint="eastAsia"/>
          <w:bCs/>
          <w:sz w:val="24"/>
          <w:szCs w:val="24"/>
        </w:rPr>
        <w:t>1.6-1.7%</w:t>
      </w:r>
      <w:r>
        <w:rPr>
          <w:rFonts w:ascii="仿宋" w:eastAsia="仿宋" w:hAnsi="仿宋" w:hint="eastAsia"/>
          <w:bCs/>
          <w:sz w:val="24"/>
          <w:szCs w:val="24"/>
        </w:rPr>
        <w:t>之间波动，</w:t>
      </w:r>
      <w:r>
        <w:rPr>
          <w:rFonts w:ascii="仿宋" w:eastAsia="仿宋" w:hAnsi="仿宋" w:hint="eastAsia"/>
          <w:bCs/>
          <w:sz w:val="24"/>
          <w:szCs w:val="24"/>
        </w:rPr>
        <w:t>R001</w:t>
      </w:r>
      <w:r>
        <w:rPr>
          <w:rFonts w:ascii="仿宋" w:eastAsia="仿宋" w:hAnsi="仿宋" w:hint="eastAsia"/>
          <w:bCs/>
          <w:sz w:val="24"/>
          <w:szCs w:val="24"/>
        </w:rPr>
        <w:t>基本在</w:t>
      </w:r>
      <w:r>
        <w:rPr>
          <w:rFonts w:ascii="仿宋" w:eastAsia="仿宋" w:hAnsi="仿宋" w:hint="eastAsia"/>
          <w:bCs/>
          <w:sz w:val="24"/>
          <w:szCs w:val="24"/>
        </w:rPr>
        <w:t>1.8-2.0%</w:t>
      </w:r>
      <w:r>
        <w:rPr>
          <w:rFonts w:ascii="仿宋" w:eastAsia="仿宋" w:hAnsi="仿宋" w:hint="eastAsia"/>
          <w:bCs/>
          <w:sz w:val="24"/>
          <w:szCs w:val="24"/>
        </w:rPr>
        <w:t>区间，二者均值分别较前一周下行</w:t>
      </w:r>
      <w:r>
        <w:rPr>
          <w:rFonts w:ascii="仿宋" w:eastAsia="仿宋" w:hAnsi="仿宋" w:hint="eastAsia"/>
          <w:bCs/>
          <w:sz w:val="24"/>
          <w:szCs w:val="24"/>
        </w:rPr>
        <w:t>11bp</w:t>
      </w:r>
      <w:r>
        <w:rPr>
          <w:rFonts w:ascii="仿宋" w:eastAsia="仿宋" w:hAnsi="仿宋" w:hint="eastAsia"/>
          <w:bCs/>
          <w:sz w:val="24"/>
          <w:szCs w:val="24"/>
        </w:rPr>
        <w:t>、</w:t>
      </w:r>
      <w:r>
        <w:rPr>
          <w:rFonts w:ascii="仿宋" w:eastAsia="仿宋" w:hAnsi="仿宋" w:hint="eastAsia"/>
          <w:bCs/>
          <w:sz w:val="24"/>
          <w:szCs w:val="24"/>
        </w:rPr>
        <w:t>13bp</w:t>
      </w:r>
      <w:r>
        <w:rPr>
          <w:rFonts w:ascii="仿宋" w:eastAsia="仿宋" w:hAnsi="仿宋" w:hint="eastAsia"/>
          <w:bCs/>
          <w:sz w:val="24"/>
          <w:szCs w:val="24"/>
        </w:rPr>
        <w:t>。</w:t>
      </w:r>
      <w:r>
        <w:rPr>
          <w:rFonts w:ascii="仿宋" w:eastAsia="仿宋" w:hAnsi="仿宋" w:hint="eastAsia"/>
          <w:bCs/>
          <w:sz w:val="24"/>
          <w:szCs w:val="24"/>
        </w:rPr>
        <w:t>1</w:t>
      </w:r>
      <w:r>
        <w:rPr>
          <w:rFonts w:ascii="仿宋" w:eastAsia="仿宋" w:hAnsi="仿宋" w:hint="eastAsia"/>
          <w:bCs/>
          <w:sz w:val="24"/>
          <w:szCs w:val="24"/>
        </w:rPr>
        <w:t>月</w:t>
      </w:r>
      <w:r>
        <w:rPr>
          <w:rFonts w:ascii="仿宋" w:eastAsia="仿宋" w:hAnsi="仿宋" w:hint="eastAsia"/>
          <w:bCs/>
          <w:sz w:val="24"/>
          <w:szCs w:val="24"/>
        </w:rPr>
        <w:t>29</w:t>
      </w:r>
      <w:r>
        <w:rPr>
          <w:rFonts w:ascii="仿宋" w:eastAsia="仿宋" w:hAnsi="仿宋" w:hint="eastAsia"/>
          <w:bCs/>
          <w:sz w:val="24"/>
          <w:szCs w:val="24"/>
        </w:rPr>
        <w:t>日</w:t>
      </w:r>
      <w:r>
        <w:rPr>
          <w:rFonts w:ascii="仿宋" w:eastAsia="仿宋" w:hAnsi="仿宋" w:hint="eastAsia"/>
          <w:bCs/>
          <w:sz w:val="24"/>
          <w:szCs w:val="24"/>
        </w:rPr>
        <w:t>-2</w:t>
      </w:r>
      <w:r>
        <w:rPr>
          <w:rFonts w:ascii="仿宋" w:eastAsia="仿宋" w:hAnsi="仿宋" w:hint="eastAsia"/>
          <w:bCs/>
          <w:sz w:val="24"/>
          <w:szCs w:val="24"/>
        </w:rPr>
        <w:t>月</w:t>
      </w:r>
      <w:r>
        <w:rPr>
          <w:rFonts w:ascii="仿宋" w:eastAsia="仿宋" w:hAnsi="仿宋" w:hint="eastAsia"/>
          <w:bCs/>
          <w:sz w:val="24"/>
          <w:szCs w:val="24"/>
        </w:rPr>
        <w:t>2</w:t>
      </w:r>
      <w:r>
        <w:rPr>
          <w:rFonts w:ascii="仿宋" w:eastAsia="仿宋" w:hAnsi="仿宋" w:hint="eastAsia"/>
          <w:bCs/>
          <w:sz w:val="24"/>
          <w:szCs w:val="24"/>
        </w:rPr>
        <w:t>日，银行体系日均净融出</w:t>
      </w:r>
      <w:r>
        <w:rPr>
          <w:rFonts w:ascii="仿宋" w:eastAsia="仿宋" w:hAnsi="仿宋" w:hint="eastAsia"/>
          <w:bCs/>
          <w:sz w:val="24"/>
          <w:szCs w:val="24"/>
        </w:rPr>
        <w:t>5.1</w:t>
      </w:r>
      <w:r>
        <w:rPr>
          <w:rFonts w:ascii="仿宋" w:eastAsia="仿宋" w:hAnsi="仿宋" w:hint="eastAsia"/>
          <w:bCs/>
          <w:sz w:val="24"/>
          <w:szCs w:val="24"/>
        </w:rPr>
        <w:t>万亿元，高于前一周的</w:t>
      </w:r>
      <w:r>
        <w:rPr>
          <w:rFonts w:ascii="仿宋" w:eastAsia="仿宋" w:hAnsi="仿宋" w:hint="eastAsia"/>
          <w:bCs/>
          <w:sz w:val="24"/>
          <w:szCs w:val="24"/>
        </w:rPr>
        <w:t>4.8</w:t>
      </w:r>
      <w:r>
        <w:rPr>
          <w:rFonts w:ascii="仿宋" w:eastAsia="仿宋" w:hAnsi="仿宋" w:hint="eastAsia"/>
          <w:bCs/>
          <w:sz w:val="24"/>
          <w:szCs w:val="24"/>
        </w:rPr>
        <w:t>万亿元。周内来看，</w:t>
      </w:r>
      <w:r w:rsidR="000945DD">
        <w:rPr>
          <w:rFonts w:ascii="仿宋" w:eastAsia="仿宋" w:hAnsi="仿宋" w:hint="eastAsia"/>
          <w:bCs/>
          <w:sz w:val="24"/>
          <w:szCs w:val="24"/>
        </w:rPr>
        <w:t>上</w:t>
      </w:r>
      <w:r>
        <w:rPr>
          <w:rFonts w:ascii="仿宋" w:eastAsia="仿宋" w:hAnsi="仿宋" w:hint="eastAsia"/>
          <w:bCs/>
          <w:sz w:val="24"/>
          <w:szCs w:val="24"/>
        </w:rPr>
        <w:t>周二至</w:t>
      </w:r>
      <w:r w:rsidR="000945DD">
        <w:rPr>
          <w:rFonts w:ascii="仿宋" w:eastAsia="仿宋" w:hAnsi="仿宋" w:hint="eastAsia"/>
          <w:bCs/>
          <w:sz w:val="24"/>
          <w:szCs w:val="24"/>
        </w:rPr>
        <w:t>上</w:t>
      </w:r>
      <w:r>
        <w:rPr>
          <w:rFonts w:ascii="仿宋" w:eastAsia="仿宋" w:hAnsi="仿宋" w:hint="eastAsia"/>
          <w:bCs/>
          <w:sz w:val="24"/>
          <w:szCs w:val="24"/>
        </w:rPr>
        <w:t>周四均在</w:t>
      </w:r>
      <w:r>
        <w:rPr>
          <w:rFonts w:ascii="仿宋" w:eastAsia="仿宋" w:hAnsi="仿宋" w:hint="eastAsia"/>
          <w:bCs/>
          <w:sz w:val="24"/>
          <w:szCs w:val="24"/>
        </w:rPr>
        <w:t>5</w:t>
      </w:r>
      <w:proofErr w:type="gramStart"/>
      <w:r>
        <w:rPr>
          <w:rFonts w:ascii="仿宋" w:eastAsia="仿宋" w:hAnsi="仿宋" w:hint="eastAsia"/>
          <w:bCs/>
          <w:sz w:val="24"/>
          <w:szCs w:val="24"/>
        </w:rPr>
        <w:t>万亿</w:t>
      </w:r>
      <w:proofErr w:type="gramEnd"/>
      <w:r>
        <w:rPr>
          <w:rFonts w:ascii="仿宋" w:eastAsia="仿宋" w:hAnsi="仿宋" w:hint="eastAsia"/>
          <w:bCs/>
          <w:sz w:val="24"/>
          <w:szCs w:val="24"/>
        </w:rPr>
        <w:t>元以上，全周高点为跨月当天，为</w:t>
      </w:r>
      <w:r>
        <w:rPr>
          <w:rFonts w:ascii="仿宋" w:eastAsia="仿宋" w:hAnsi="仿宋" w:hint="eastAsia"/>
          <w:bCs/>
          <w:sz w:val="24"/>
          <w:szCs w:val="24"/>
        </w:rPr>
        <w:t>5.3</w:t>
      </w:r>
      <w:proofErr w:type="gramStart"/>
      <w:r>
        <w:rPr>
          <w:rFonts w:ascii="仿宋" w:eastAsia="仿宋" w:hAnsi="仿宋" w:hint="eastAsia"/>
          <w:bCs/>
          <w:sz w:val="24"/>
          <w:szCs w:val="24"/>
        </w:rPr>
        <w:t>万亿</w:t>
      </w:r>
      <w:proofErr w:type="gramEnd"/>
      <w:r>
        <w:rPr>
          <w:rFonts w:ascii="仿宋" w:eastAsia="仿宋" w:hAnsi="仿宋" w:hint="eastAsia"/>
          <w:bCs/>
          <w:sz w:val="24"/>
          <w:szCs w:val="24"/>
        </w:rPr>
        <w:t>元，跨月后反而有所下降，</w:t>
      </w:r>
      <w:r w:rsidR="000945DD">
        <w:rPr>
          <w:rFonts w:ascii="仿宋" w:eastAsia="仿宋" w:hAnsi="仿宋" w:hint="eastAsia"/>
          <w:bCs/>
          <w:sz w:val="24"/>
          <w:szCs w:val="24"/>
        </w:rPr>
        <w:t>上</w:t>
      </w:r>
      <w:r>
        <w:rPr>
          <w:rFonts w:ascii="仿宋" w:eastAsia="仿宋" w:hAnsi="仿宋" w:hint="eastAsia"/>
          <w:bCs/>
          <w:sz w:val="24"/>
          <w:szCs w:val="24"/>
        </w:rPr>
        <w:t>周五收至</w:t>
      </w:r>
      <w:r>
        <w:rPr>
          <w:rFonts w:ascii="仿宋" w:eastAsia="仿宋" w:hAnsi="仿宋" w:hint="eastAsia"/>
          <w:bCs/>
          <w:sz w:val="24"/>
          <w:szCs w:val="24"/>
        </w:rPr>
        <w:t>4.8</w:t>
      </w:r>
      <w:proofErr w:type="gramStart"/>
      <w:r>
        <w:rPr>
          <w:rFonts w:ascii="仿宋" w:eastAsia="仿宋" w:hAnsi="仿宋" w:hint="eastAsia"/>
          <w:bCs/>
          <w:sz w:val="24"/>
          <w:szCs w:val="24"/>
        </w:rPr>
        <w:t>万亿</w:t>
      </w:r>
      <w:proofErr w:type="gramEnd"/>
      <w:r>
        <w:rPr>
          <w:rFonts w:ascii="仿宋" w:eastAsia="仿宋" w:hAnsi="仿宋" w:hint="eastAsia"/>
          <w:bCs/>
          <w:sz w:val="24"/>
          <w:szCs w:val="24"/>
        </w:rPr>
        <w:t>元。</w:t>
      </w:r>
    </w:p>
    <w:p w14:paraId="40CB79B8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票据利率：</w:t>
      </w:r>
      <w:r>
        <w:rPr>
          <w:rFonts w:ascii="仿宋" w:eastAsia="仿宋" w:hAnsi="仿宋" w:hint="eastAsia"/>
          <w:bCs/>
          <w:sz w:val="24"/>
          <w:szCs w:val="24"/>
        </w:rPr>
        <w:t>上周票据利率整体呈震荡下行走势。上月末，以非银为主的买方</w:t>
      </w:r>
      <w:r>
        <w:rPr>
          <w:rFonts w:ascii="仿宋" w:eastAsia="仿宋" w:hAnsi="仿宋" w:hint="eastAsia"/>
          <w:bCs/>
          <w:sz w:val="24"/>
          <w:szCs w:val="24"/>
        </w:rPr>
        <w:t>力量持续跟跌入场收票，建行、中信、招商等几家股份制大行也由于规模因素影响，在月末几日再次进场收票，导致市场整体供小于求，利率易跌难涨。</w:t>
      </w:r>
      <w:r>
        <w:rPr>
          <w:rFonts w:ascii="仿宋" w:eastAsia="仿宋" w:hAnsi="仿宋" w:hint="eastAsia"/>
          <w:bCs/>
          <w:sz w:val="24"/>
          <w:szCs w:val="24"/>
        </w:rPr>
        <w:t>2</w:t>
      </w:r>
      <w:r>
        <w:rPr>
          <w:rFonts w:ascii="仿宋" w:eastAsia="仿宋" w:hAnsi="仿宋" w:hint="eastAsia"/>
          <w:bCs/>
          <w:sz w:val="24"/>
          <w:szCs w:val="24"/>
        </w:rPr>
        <w:t>月初在一致看跌预期下卖盘不断压价，各期限利率大幅跳水低开后继续下行。</w:t>
      </w:r>
    </w:p>
    <w:p w14:paraId="590957F1" w14:textId="77777777" w:rsidR="000629FB" w:rsidRDefault="003020C5">
      <w:pPr>
        <w:spacing w:line="360" w:lineRule="auto"/>
        <w:ind w:firstLine="480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/>
          <w:b/>
          <w:sz w:val="24"/>
          <w:szCs w:val="24"/>
        </w:rPr>
        <w:t>（三）债券市场</w:t>
      </w:r>
    </w:p>
    <w:p w14:paraId="567F990F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anchor distT="0" distB="0" distL="0" distR="0" simplePos="0" relativeHeight="10" behindDoc="0" locked="0" layoutInCell="1" allowOverlap="1" wp14:anchorId="1C62E27A" wp14:editId="189735CB">
            <wp:simplePos x="0" y="0"/>
            <wp:positionH relativeFrom="column">
              <wp:posOffset>1010285</wp:posOffset>
            </wp:positionH>
            <wp:positionV relativeFrom="paragraph">
              <wp:posOffset>426085</wp:posOffset>
            </wp:positionV>
            <wp:extent cx="4231640" cy="2210435"/>
            <wp:effectExtent l="0" t="0" r="0" b="0"/>
            <wp:wrapTopAndBottom/>
            <wp:docPr id="103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4231640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/>
          <w:szCs w:val="21"/>
        </w:rPr>
        <w:t>4</w:t>
      </w:r>
      <w:r>
        <w:rPr>
          <w:rFonts w:ascii="黑体" w:eastAsia="黑体" w:hAnsi="黑体" w:hint="eastAsia"/>
          <w:szCs w:val="21"/>
        </w:rPr>
        <w:t>：上周利率债各期限收益率涨跌幅（</w:t>
      </w:r>
      <w:r>
        <w:rPr>
          <w:rFonts w:ascii="黑体" w:eastAsia="黑体" w:hAnsi="黑体" w:hint="eastAsia"/>
          <w:szCs w:val="21"/>
        </w:rPr>
        <w:t>BP</w:t>
      </w:r>
      <w:r>
        <w:rPr>
          <w:rFonts w:ascii="黑体" w:eastAsia="黑体" w:hAnsi="黑体" w:hint="eastAsia"/>
          <w:szCs w:val="21"/>
        </w:rPr>
        <w:t>）</w:t>
      </w:r>
    </w:p>
    <w:p w14:paraId="781FAC7D" w14:textId="77777777" w:rsidR="000629FB" w:rsidRDefault="003020C5">
      <w:pPr>
        <w:spacing w:line="360" w:lineRule="auto"/>
        <w:ind w:firstLineChars="300" w:firstLine="63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、中债估值、</w:t>
      </w:r>
      <w:r>
        <w:rPr>
          <w:rFonts w:ascii="仿宋" w:eastAsia="仿宋" w:hAnsi="仿宋"/>
          <w:szCs w:val="21"/>
        </w:rPr>
        <w:t>鑫元基金</w:t>
      </w:r>
    </w:p>
    <w:p w14:paraId="722921A8" w14:textId="77777777" w:rsidR="000629FB" w:rsidRDefault="000629FB">
      <w:pPr>
        <w:spacing w:line="360" w:lineRule="auto"/>
        <w:ind w:firstLineChars="300" w:firstLine="630"/>
        <w:rPr>
          <w:rFonts w:ascii="仿宋" w:eastAsia="仿宋" w:hAnsi="仿宋"/>
          <w:szCs w:val="21"/>
        </w:rPr>
      </w:pPr>
    </w:p>
    <w:p w14:paraId="2EFD19C0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</w:t>
      </w:r>
      <w:r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 w:hint="eastAsia"/>
          <w:szCs w:val="21"/>
        </w:rPr>
        <w:t>：中债国债期限利差</w:t>
      </w:r>
    </w:p>
    <w:tbl>
      <w:tblPr>
        <w:tblW w:w="7304" w:type="dxa"/>
        <w:jc w:val="center"/>
        <w:tblLook w:val="04A0" w:firstRow="1" w:lastRow="0" w:firstColumn="1" w:lastColumn="0" w:noHBand="0" w:noVBand="1"/>
      </w:tblPr>
      <w:tblGrid>
        <w:gridCol w:w="1988"/>
        <w:gridCol w:w="1216"/>
        <w:gridCol w:w="1336"/>
        <w:gridCol w:w="1376"/>
        <w:gridCol w:w="1388"/>
      </w:tblGrid>
      <w:tr w:rsidR="000629FB" w14:paraId="389A0908" w14:textId="77777777">
        <w:trPr>
          <w:trHeight w:val="280"/>
          <w:jc w:val="center"/>
        </w:trPr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3ED1ADFF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项目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0D0CE1E9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3-1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42436C0E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5-3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2F9528B5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10-5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FABF8F"/>
              <w:right w:val="single" w:sz="8" w:space="0" w:color="auto"/>
            </w:tcBorders>
            <w:shd w:val="clear" w:color="F79646" w:fill="F79646"/>
            <w:noWrap/>
            <w:vAlign w:val="center"/>
            <w:hideMark/>
          </w:tcPr>
          <w:p w14:paraId="08477682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10-R007</w:t>
            </w:r>
          </w:p>
        </w:tc>
      </w:tr>
      <w:tr w:rsidR="000629FB" w14:paraId="57BBBE41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08594D67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期限利差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64FB258F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29.83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11DCC12F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9.13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5CEBE092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14.45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14:paraId="6013193A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19.38</w:t>
            </w:r>
          </w:p>
        </w:tc>
      </w:tr>
      <w:tr w:rsidR="000629FB" w14:paraId="26F3F48E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587EAAF0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环比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0E70A58A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8.21 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128B4546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-1.37 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03ED535E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-1.08 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3F4D2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20.46 </w:t>
            </w:r>
          </w:p>
        </w:tc>
      </w:tr>
      <w:tr w:rsidR="000629FB" w14:paraId="44121E4D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77F9C45F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年初以来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43EF7A15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-0.88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552B3DFC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-14.93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76F5DBE3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-4.62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14:paraId="51019085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14.65</w:t>
            </w:r>
          </w:p>
        </w:tc>
      </w:tr>
      <w:tr w:rsidR="000629FB" w14:paraId="5EA570D1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06213D9A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年以来最大值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4444F751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57.29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24D0A503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49.88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73571B9C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74.94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B205D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145.68</w:t>
            </w:r>
          </w:p>
        </w:tc>
      </w:tr>
      <w:tr w:rsidR="000629FB" w14:paraId="201AAAAF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0BE5E476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年以来最小值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0D7A30E0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-8.62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23B1C915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-3.15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767BFDF2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-6.03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14:paraId="0DCA2C85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-305.09</w:t>
            </w:r>
          </w:p>
        </w:tc>
      </w:tr>
      <w:tr w:rsidR="000629FB" w14:paraId="5F097BA3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3A12B02D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年以来平均值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79FD7574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27.23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0B8FCB72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15.54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267C81E6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17.93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011D9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53.97</w:t>
            </w:r>
          </w:p>
        </w:tc>
      </w:tr>
      <w:tr w:rsidR="000629FB" w14:paraId="7240CAFC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8" w:space="0" w:color="auto"/>
              <w:right w:val="nil"/>
            </w:tcBorders>
            <w:shd w:val="clear" w:color="FDE9D9" w:fill="FDE9D9"/>
            <w:noWrap/>
            <w:hideMark/>
          </w:tcPr>
          <w:p w14:paraId="09D8F2D6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年以来分位数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14:paraId="62E8AE51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60.98%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14:paraId="13744A92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13.62%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14:paraId="6F5D8127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28.12%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8" w:space="0" w:color="auto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14:paraId="7130A542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14.75%</w:t>
            </w:r>
          </w:p>
        </w:tc>
      </w:tr>
    </w:tbl>
    <w:p w14:paraId="3AB8290C" w14:textId="77777777" w:rsidR="000629FB" w:rsidRDefault="003020C5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/>
          <w:szCs w:val="21"/>
        </w:rPr>
        <w:t>，最大、最小、平均值区间均为</w:t>
      </w: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/>
          <w:szCs w:val="21"/>
        </w:rPr>
        <w:t>016</w:t>
      </w:r>
      <w:r>
        <w:rPr>
          <w:rFonts w:ascii="仿宋" w:eastAsia="仿宋" w:hAnsi="仿宋"/>
          <w:szCs w:val="21"/>
        </w:rPr>
        <w:t>年至今</w:t>
      </w:r>
    </w:p>
    <w:p w14:paraId="460B82CE" w14:textId="77777777" w:rsidR="000629FB" w:rsidRDefault="000629FB">
      <w:pPr>
        <w:widowControl/>
        <w:jc w:val="center"/>
        <w:rPr>
          <w:rFonts w:ascii="仿宋" w:eastAsia="仿宋" w:hAnsi="仿宋"/>
          <w:szCs w:val="21"/>
        </w:rPr>
      </w:pPr>
    </w:p>
    <w:p w14:paraId="42A603AF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</w:t>
      </w:r>
      <w:r>
        <w:rPr>
          <w:rFonts w:ascii="黑体" w:eastAsia="黑体" w:hAnsi="黑体" w:hint="eastAsia"/>
          <w:szCs w:val="21"/>
        </w:rPr>
        <w:t>3</w:t>
      </w:r>
      <w:r>
        <w:rPr>
          <w:rFonts w:ascii="黑体" w:eastAsia="黑体" w:hAnsi="黑体" w:hint="eastAsia"/>
          <w:szCs w:val="21"/>
        </w:rPr>
        <w:t>：中债中短期票据信用利差（</w:t>
      </w:r>
      <w:r>
        <w:rPr>
          <w:rFonts w:ascii="黑体" w:eastAsia="黑体" w:hAnsi="黑体" w:hint="eastAsia"/>
          <w:szCs w:val="21"/>
        </w:rPr>
        <w:t>202</w:t>
      </w:r>
      <w:r>
        <w:rPr>
          <w:rFonts w:ascii="黑体" w:eastAsia="黑体" w:hAnsi="黑体"/>
          <w:szCs w:val="21"/>
        </w:rPr>
        <w:t>4</w:t>
      </w:r>
      <w:r>
        <w:rPr>
          <w:rFonts w:ascii="黑体" w:eastAsia="黑体" w:hAnsi="黑体" w:hint="eastAsia"/>
          <w:szCs w:val="21"/>
        </w:rPr>
        <w:t>年</w:t>
      </w:r>
      <w:r>
        <w:rPr>
          <w:rFonts w:ascii="黑体" w:eastAsia="黑体" w:hAnsi="黑体"/>
          <w:szCs w:val="21"/>
        </w:rPr>
        <w:t>2</w:t>
      </w:r>
      <w:r>
        <w:rPr>
          <w:rFonts w:ascii="黑体" w:eastAsia="黑体" w:hAnsi="黑体" w:hint="eastAsia"/>
          <w:szCs w:val="21"/>
        </w:rPr>
        <w:t>月</w:t>
      </w:r>
      <w:r>
        <w:rPr>
          <w:rFonts w:ascii="黑体" w:eastAsia="黑体" w:hAnsi="黑体"/>
          <w:szCs w:val="21"/>
        </w:rPr>
        <w:t>2</w:t>
      </w:r>
      <w:r>
        <w:rPr>
          <w:rFonts w:ascii="黑体" w:eastAsia="黑体" w:hAnsi="黑体" w:hint="eastAsia"/>
          <w:szCs w:val="21"/>
        </w:rPr>
        <w:t>日）</w:t>
      </w:r>
    </w:p>
    <w:tbl>
      <w:tblPr>
        <w:tblW w:w="8700" w:type="dxa"/>
        <w:jc w:val="center"/>
        <w:tblLook w:val="04A0" w:firstRow="1" w:lastRow="0" w:firstColumn="1" w:lastColumn="0" w:noHBand="0" w:noVBand="1"/>
      </w:tblPr>
      <w:tblGrid>
        <w:gridCol w:w="1988"/>
        <w:gridCol w:w="1216"/>
        <w:gridCol w:w="1336"/>
        <w:gridCol w:w="1376"/>
        <w:gridCol w:w="1396"/>
        <w:gridCol w:w="1388"/>
      </w:tblGrid>
      <w:tr w:rsidR="000629FB" w14:paraId="21D6CE25" w14:textId="77777777">
        <w:trPr>
          <w:trHeight w:val="280"/>
          <w:jc w:val="center"/>
        </w:trPr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75E82B29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项目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66CCB4E2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AAA</w:t>
            </w: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1Y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56443F02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AAA</w:t>
            </w: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2Y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133201B4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AAA</w:t>
            </w: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3Y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0077FEEE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AAA</w:t>
            </w: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4Y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FABF8F"/>
              <w:right w:val="single" w:sz="8" w:space="0" w:color="auto"/>
            </w:tcBorders>
            <w:shd w:val="clear" w:color="F79646" w:fill="F79646"/>
            <w:noWrap/>
            <w:vAlign w:val="center"/>
            <w:hideMark/>
          </w:tcPr>
          <w:p w14:paraId="167BAE34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AAA</w:t>
            </w: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b/>
                <w:bCs/>
                <w:color w:val="FFFFFF"/>
                <w:sz w:val="20"/>
                <w:szCs w:val="20"/>
              </w:rPr>
              <w:t>5Y</w:t>
            </w:r>
          </w:p>
        </w:tc>
      </w:tr>
      <w:tr w:rsidR="000629FB" w14:paraId="0AF8F87F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48AF2AD5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信用利差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030B1738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33.87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5B867571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27.52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50544F70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26.34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4D784EEF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27.05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hideMark/>
          </w:tcPr>
          <w:p w14:paraId="1B78F919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35.22</w:t>
            </w:r>
          </w:p>
        </w:tc>
      </w:tr>
      <w:tr w:rsidR="000629FB" w14:paraId="706D5FA5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0C61CD66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环比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1F116A72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0.71 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7A2D4737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-3.61 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361204D6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-2.91 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6C506952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-0.23 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hideMark/>
          </w:tcPr>
          <w:p w14:paraId="63E557FD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1.60 </w:t>
            </w:r>
          </w:p>
        </w:tc>
      </w:tr>
      <w:tr w:rsidR="000629FB" w14:paraId="0F477474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2EFB3BDF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年初以来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7734A875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-13.96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3A2F9786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-24.7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4ED4D5CE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-36.89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561B2FC7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-26.78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hideMark/>
          </w:tcPr>
          <w:p w14:paraId="6C04CD5E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-31.7</w:t>
            </w:r>
          </w:p>
        </w:tc>
      </w:tr>
      <w:tr w:rsidR="000629FB" w14:paraId="04103666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434B4FCC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年以来最大值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3B410DCA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98.01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49BADF91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78.03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211F87B5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77.29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51A5EFE9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76.64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hideMark/>
          </w:tcPr>
          <w:p w14:paraId="65F1B095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93.82</w:t>
            </w:r>
          </w:p>
        </w:tc>
      </w:tr>
      <w:tr w:rsidR="000629FB" w14:paraId="7919370C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7D039A9A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年以来最小值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0E4F04F4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13.98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087DB3A0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5.79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5960B054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11.66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hideMark/>
          </w:tcPr>
          <w:p w14:paraId="6D5970FC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13.59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hideMark/>
          </w:tcPr>
          <w:p w14:paraId="1B507806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12.62</w:t>
            </w:r>
          </w:p>
        </w:tc>
      </w:tr>
      <w:tr w:rsidR="000629FB" w14:paraId="78894076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5761C264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年以来平均值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5C6B5A0E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47.03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1D6AC239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37.43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23A9D735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40.25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hideMark/>
          </w:tcPr>
          <w:p w14:paraId="45B1BF35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44.42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hideMark/>
          </w:tcPr>
          <w:p w14:paraId="4F011B83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45.48</w:t>
            </w:r>
          </w:p>
        </w:tc>
      </w:tr>
      <w:tr w:rsidR="000629FB" w14:paraId="396CA690" w14:textId="77777777">
        <w:trPr>
          <w:trHeight w:val="280"/>
          <w:jc w:val="center"/>
        </w:trPr>
        <w:tc>
          <w:tcPr>
            <w:tcW w:w="1988" w:type="dxa"/>
            <w:tcBorders>
              <w:top w:val="single" w:sz="4" w:space="0" w:color="FABF8F"/>
              <w:left w:val="single" w:sz="8" w:space="0" w:color="auto"/>
              <w:bottom w:val="single" w:sz="8" w:space="0" w:color="auto"/>
              <w:right w:val="nil"/>
            </w:tcBorders>
            <w:shd w:val="clear" w:color="FDE9D9" w:fill="FDE9D9"/>
            <w:noWrap/>
            <w:hideMark/>
          </w:tcPr>
          <w:p w14:paraId="447AE0D5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年以来分位数</w:t>
            </w:r>
          </w:p>
        </w:tc>
        <w:tc>
          <w:tcPr>
            <w:tcW w:w="121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hideMark/>
          </w:tcPr>
          <w:p w14:paraId="39102FDC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21.61%</w:t>
            </w:r>
          </w:p>
        </w:tc>
        <w:tc>
          <w:tcPr>
            <w:tcW w:w="133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hideMark/>
          </w:tcPr>
          <w:p w14:paraId="3D08D4A7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18.20%</w:t>
            </w:r>
          </w:p>
        </w:tc>
        <w:tc>
          <w:tcPr>
            <w:tcW w:w="137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hideMark/>
          </w:tcPr>
          <w:p w14:paraId="16D2DA52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8.29%</w:t>
            </w:r>
          </w:p>
        </w:tc>
        <w:tc>
          <w:tcPr>
            <w:tcW w:w="1396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hideMark/>
          </w:tcPr>
          <w:p w14:paraId="320E327D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3.21%</w:t>
            </w:r>
          </w:p>
        </w:tc>
        <w:tc>
          <w:tcPr>
            <w:tcW w:w="1388" w:type="dxa"/>
            <w:tcBorders>
              <w:top w:val="single" w:sz="4" w:space="0" w:color="FABF8F"/>
              <w:left w:val="nil"/>
              <w:bottom w:val="single" w:sz="8" w:space="0" w:color="auto"/>
              <w:right w:val="single" w:sz="8" w:space="0" w:color="auto"/>
            </w:tcBorders>
            <w:shd w:val="clear" w:color="FDE9D9" w:fill="FDE9D9"/>
            <w:noWrap/>
            <w:hideMark/>
          </w:tcPr>
          <w:p w14:paraId="65B3AFD0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16.33%</w:t>
            </w:r>
          </w:p>
        </w:tc>
      </w:tr>
    </w:tbl>
    <w:p w14:paraId="183EC0A6" w14:textId="77777777" w:rsidR="000629FB" w:rsidRDefault="003020C5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鑫元基金，最大、最小、平均值区间均为</w:t>
      </w: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/>
          <w:szCs w:val="21"/>
        </w:rPr>
        <w:t>016</w:t>
      </w:r>
      <w:r>
        <w:rPr>
          <w:rFonts w:ascii="仿宋" w:eastAsia="仿宋" w:hAnsi="仿宋"/>
          <w:szCs w:val="21"/>
        </w:rPr>
        <w:t>至今</w:t>
      </w:r>
    </w:p>
    <w:p w14:paraId="3A716E15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</w:t>
      </w:r>
      <w:r>
        <w:rPr>
          <w:rFonts w:ascii="仿宋" w:eastAsia="仿宋" w:hAnsi="仿宋"/>
          <w:b/>
          <w:sz w:val="24"/>
          <w:szCs w:val="24"/>
        </w:rPr>
        <w:t>周</w:t>
      </w:r>
      <w:r>
        <w:rPr>
          <w:rFonts w:ascii="仿宋" w:eastAsia="仿宋" w:hAnsi="仿宋" w:hint="eastAsia"/>
          <w:b/>
          <w:sz w:val="24"/>
          <w:szCs w:val="24"/>
        </w:rPr>
        <w:t>中债国开和中债国债</w:t>
      </w:r>
      <w:r>
        <w:rPr>
          <w:rFonts w:ascii="仿宋" w:eastAsia="仿宋" w:hAnsi="仿宋"/>
          <w:b/>
          <w:sz w:val="24"/>
          <w:szCs w:val="24"/>
        </w:rPr>
        <w:t>收益率</w:t>
      </w:r>
      <w:r>
        <w:rPr>
          <w:rFonts w:ascii="仿宋" w:eastAsia="仿宋" w:hAnsi="仿宋" w:hint="eastAsia"/>
          <w:b/>
          <w:sz w:val="24"/>
          <w:szCs w:val="24"/>
        </w:rPr>
        <w:t>集体下行</w:t>
      </w:r>
      <w:r>
        <w:rPr>
          <w:rFonts w:ascii="仿宋" w:eastAsia="仿宋" w:hAnsi="仿宋"/>
          <w:b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其中，中债国债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年期收益率下行</w:t>
      </w:r>
      <w:r>
        <w:rPr>
          <w:rFonts w:ascii="仿宋" w:eastAsia="仿宋" w:hAnsi="仿宋"/>
          <w:sz w:val="24"/>
          <w:szCs w:val="24"/>
        </w:rPr>
        <w:t>13.26BP</w:t>
      </w:r>
      <w:r>
        <w:rPr>
          <w:rFonts w:ascii="仿宋" w:eastAsia="仿宋" w:hAnsi="仿宋" w:hint="eastAsia"/>
          <w:sz w:val="24"/>
          <w:szCs w:val="24"/>
        </w:rPr>
        <w:t>至</w:t>
      </w:r>
      <w:r>
        <w:rPr>
          <w:rFonts w:ascii="仿宋" w:eastAsia="仿宋" w:hAnsi="仿宋"/>
          <w:sz w:val="24"/>
          <w:szCs w:val="24"/>
        </w:rPr>
        <w:t>1.8903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年期下行</w:t>
      </w:r>
      <w:r>
        <w:rPr>
          <w:rFonts w:ascii="仿宋" w:eastAsia="仿宋" w:hAnsi="仿宋"/>
          <w:sz w:val="24"/>
          <w:szCs w:val="24"/>
        </w:rPr>
        <w:t>5.05BP</w:t>
      </w:r>
      <w:r>
        <w:rPr>
          <w:rFonts w:ascii="仿宋" w:eastAsia="仿宋" w:hAnsi="仿宋" w:hint="eastAsia"/>
          <w:sz w:val="24"/>
          <w:szCs w:val="24"/>
        </w:rPr>
        <w:t>至</w:t>
      </w:r>
      <w:r>
        <w:rPr>
          <w:rFonts w:ascii="仿宋" w:eastAsia="仿宋" w:hAnsi="仿宋"/>
          <w:sz w:val="24"/>
          <w:szCs w:val="24"/>
        </w:rPr>
        <w:t>2.1886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年期下行</w:t>
      </w:r>
      <w:r>
        <w:rPr>
          <w:rFonts w:ascii="仿宋" w:eastAsia="仿宋" w:hAnsi="仿宋"/>
          <w:sz w:val="24"/>
          <w:szCs w:val="24"/>
        </w:rPr>
        <w:t>6.42BP</w:t>
      </w:r>
      <w:r>
        <w:rPr>
          <w:rFonts w:ascii="仿宋" w:eastAsia="仿宋" w:hAnsi="仿宋" w:hint="eastAsia"/>
          <w:sz w:val="24"/>
          <w:szCs w:val="24"/>
        </w:rPr>
        <w:t>至</w:t>
      </w:r>
      <w:r>
        <w:rPr>
          <w:rFonts w:ascii="仿宋" w:eastAsia="仿宋" w:hAnsi="仿宋"/>
          <w:sz w:val="24"/>
          <w:szCs w:val="24"/>
        </w:rPr>
        <w:t>2.2799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/>
          <w:sz w:val="24"/>
          <w:szCs w:val="24"/>
        </w:rPr>
        <w:t>年期</w:t>
      </w:r>
      <w:r>
        <w:rPr>
          <w:rFonts w:ascii="仿宋" w:eastAsia="仿宋" w:hAnsi="仿宋" w:hint="eastAsia"/>
          <w:sz w:val="24"/>
          <w:szCs w:val="24"/>
        </w:rPr>
        <w:t>下行</w:t>
      </w:r>
      <w:r>
        <w:rPr>
          <w:rFonts w:ascii="仿宋" w:eastAsia="仿宋" w:hAnsi="仿宋"/>
          <w:sz w:val="24"/>
          <w:szCs w:val="24"/>
        </w:rPr>
        <w:t>7.5BP</w:t>
      </w:r>
      <w:r>
        <w:rPr>
          <w:rFonts w:ascii="仿宋" w:eastAsia="仿宋" w:hAnsi="仿宋"/>
          <w:sz w:val="24"/>
          <w:szCs w:val="24"/>
        </w:rPr>
        <w:t>至</w:t>
      </w:r>
      <w:r>
        <w:rPr>
          <w:rFonts w:ascii="仿宋" w:eastAsia="仿宋" w:hAnsi="仿宋"/>
          <w:sz w:val="24"/>
          <w:szCs w:val="24"/>
        </w:rPr>
        <w:t>2.4244</w:t>
      </w:r>
      <w:r>
        <w:rPr>
          <w:rFonts w:ascii="仿宋" w:eastAsia="仿宋" w:hAnsi="仿宋"/>
          <w:sz w:val="24"/>
          <w:szCs w:val="24"/>
        </w:rPr>
        <w:t>。</w:t>
      </w:r>
    </w:p>
    <w:p w14:paraId="2C98E3F0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长期限</w:t>
      </w:r>
      <w:r>
        <w:rPr>
          <w:rFonts w:ascii="仿宋" w:eastAsia="仿宋" w:hAnsi="仿宋"/>
          <w:b/>
          <w:sz w:val="24"/>
          <w:szCs w:val="24"/>
        </w:rPr>
        <w:t>高等级</w:t>
      </w:r>
      <w:r>
        <w:rPr>
          <w:rFonts w:ascii="仿宋" w:eastAsia="仿宋" w:hAnsi="仿宋" w:hint="eastAsia"/>
          <w:b/>
          <w:sz w:val="24"/>
          <w:szCs w:val="24"/>
        </w:rPr>
        <w:t>票据</w:t>
      </w:r>
      <w:r>
        <w:rPr>
          <w:rFonts w:ascii="仿宋" w:eastAsia="仿宋" w:hAnsi="仿宋"/>
          <w:b/>
          <w:sz w:val="24"/>
          <w:szCs w:val="24"/>
        </w:rPr>
        <w:t>信用利差</w:t>
      </w:r>
      <w:r>
        <w:rPr>
          <w:rFonts w:ascii="仿宋" w:eastAsia="仿宋" w:hAnsi="仿宋" w:hint="eastAsia"/>
          <w:b/>
          <w:sz w:val="24"/>
          <w:szCs w:val="24"/>
        </w:rPr>
        <w:t>分化</w:t>
      </w:r>
      <w:r>
        <w:rPr>
          <w:rFonts w:ascii="仿宋" w:eastAsia="仿宋" w:hAnsi="仿宋"/>
          <w:b/>
          <w:sz w:val="24"/>
          <w:szCs w:val="24"/>
        </w:rPr>
        <w:t>。</w:t>
      </w:r>
      <w:r>
        <w:rPr>
          <w:rFonts w:ascii="仿宋" w:eastAsia="仿宋" w:hAnsi="仿宋"/>
          <w:sz w:val="24"/>
          <w:szCs w:val="24"/>
        </w:rPr>
        <w:t>中债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年期</w:t>
      </w:r>
      <w:r>
        <w:rPr>
          <w:rFonts w:ascii="仿宋" w:eastAsia="仿宋" w:hAnsi="仿宋"/>
          <w:sz w:val="24"/>
          <w:szCs w:val="24"/>
        </w:rPr>
        <w:t>AAA</w:t>
      </w:r>
      <w:r>
        <w:rPr>
          <w:rFonts w:ascii="仿宋" w:eastAsia="仿宋" w:hAnsi="仿宋"/>
          <w:sz w:val="24"/>
          <w:szCs w:val="24"/>
        </w:rPr>
        <w:t>级中短期票据信用利差</w:t>
      </w:r>
      <w:r>
        <w:rPr>
          <w:rFonts w:ascii="仿宋" w:eastAsia="仿宋" w:hAnsi="仿宋" w:hint="eastAsia"/>
          <w:sz w:val="24"/>
          <w:szCs w:val="24"/>
        </w:rPr>
        <w:t>放宽</w:t>
      </w:r>
      <w:r>
        <w:rPr>
          <w:rFonts w:ascii="仿宋" w:eastAsia="仿宋" w:hAnsi="仿宋"/>
          <w:sz w:val="24"/>
          <w:szCs w:val="24"/>
        </w:rPr>
        <w:t>0.71BP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中债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年期</w:t>
      </w:r>
      <w:r>
        <w:rPr>
          <w:rFonts w:ascii="仿宋" w:eastAsia="仿宋" w:hAnsi="仿宋" w:hint="eastAsia"/>
          <w:sz w:val="24"/>
          <w:szCs w:val="24"/>
        </w:rPr>
        <w:t>AAA</w:t>
      </w:r>
      <w:r>
        <w:rPr>
          <w:rFonts w:ascii="仿宋" w:eastAsia="仿宋" w:hAnsi="仿宋" w:hint="eastAsia"/>
          <w:sz w:val="24"/>
          <w:szCs w:val="24"/>
        </w:rPr>
        <w:t>级中短期票据信用利差收窄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.61BP</w:t>
      </w:r>
      <w:r>
        <w:rPr>
          <w:rFonts w:ascii="仿宋" w:eastAsia="仿宋" w:hAnsi="仿宋"/>
          <w:sz w:val="24"/>
          <w:szCs w:val="24"/>
        </w:rPr>
        <w:t>；</w:t>
      </w:r>
      <w:r>
        <w:rPr>
          <w:rFonts w:ascii="仿宋" w:eastAsia="仿宋" w:hAnsi="仿宋" w:hint="eastAsia"/>
          <w:sz w:val="24"/>
          <w:szCs w:val="24"/>
        </w:rPr>
        <w:t>中债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年期</w:t>
      </w:r>
      <w:r>
        <w:rPr>
          <w:rFonts w:ascii="仿宋" w:eastAsia="仿宋" w:hAnsi="仿宋" w:hint="eastAsia"/>
          <w:sz w:val="24"/>
          <w:szCs w:val="24"/>
        </w:rPr>
        <w:t>AA</w:t>
      </w:r>
      <w:r>
        <w:rPr>
          <w:rFonts w:ascii="仿宋" w:eastAsia="仿宋" w:hAnsi="仿宋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级中短期票据信用利差收窄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.91</w:t>
      </w:r>
      <w:r>
        <w:rPr>
          <w:rFonts w:ascii="仿宋" w:eastAsia="仿宋" w:hAnsi="仿宋" w:hint="eastAsia"/>
          <w:sz w:val="24"/>
          <w:szCs w:val="24"/>
        </w:rPr>
        <w:t>BP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006D2C88" w14:textId="77777777" w:rsidR="000629FB" w:rsidRDefault="003020C5">
      <w:pPr>
        <w:spacing w:line="360" w:lineRule="auto"/>
        <w:ind w:firstLineChars="200" w:firstLine="420"/>
        <w:jc w:val="center"/>
        <w:rPr>
          <w:rFonts w:ascii="仿宋" w:eastAsia="仿宋" w:hAnsi="仿宋"/>
          <w:sz w:val="24"/>
          <w:szCs w:val="24"/>
        </w:rPr>
      </w:pPr>
      <w:r>
        <w:rPr>
          <w:rFonts w:ascii="黑体" w:eastAsia="黑体" w:hAnsi="黑体"/>
          <w:noProof/>
          <w:szCs w:val="21"/>
        </w:rPr>
        <w:lastRenderedPageBreak/>
        <w:drawing>
          <wp:anchor distT="0" distB="0" distL="0" distR="0" simplePos="0" relativeHeight="11" behindDoc="0" locked="0" layoutInCell="1" allowOverlap="1" wp14:anchorId="7BF76D8E" wp14:editId="5E32E55B">
            <wp:simplePos x="0" y="0"/>
            <wp:positionH relativeFrom="column">
              <wp:posOffset>1022350</wp:posOffset>
            </wp:positionH>
            <wp:positionV relativeFrom="paragraph">
              <wp:posOffset>375285</wp:posOffset>
            </wp:positionV>
            <wp:extent cx="4431030" cy="2292985"/>
            <wp:effectExtent l="0" t="0" r="7620" b="0"/>
            <wp:wrapTopAndBottom/>
            <wp:docPr id="1039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/>
                  </pic:nvPicPr>
                  <pic:blipFill>
                    <a:blip r:embed="rId22" cstate="print"/>
                    <a:srcRect/>
                    <a:stretch/>
                  </pic:blipFill>
                  <pic:spPr>
                    <a:xfrm>
                      <a:off x="0" y="0"/>
                      <a:ext cx="443103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/>
          <w:szCs w:val="21"/>
        </w:rPr>
        <w:t>5</w:t>
      </w:r>
      <w:r>
        <w:rPr>
          <w:rFonts w:ascii="黑体" w:eastAsia="黑体" w:hAnsi="黑体" w:hint="eastAsia"/>
          <w:szCs w:val="21"/>
        </w:rPr>
        <w:t>：上周美债各期限收益率涨跌幅（</w:t>
      </w:r>
      <w:r>
        <w:rPr>
          <w:rFonts w:ascii="黑体" w:eastAsia="黑体" w:hAnsi="黑体" w:hint="eastAsia"/>
          <w:szCs w:val="21"/>
        </w:rPr>
        <w:t>BP</w:t>
      </w:r>
      <w:r>
        <w:rPr>
          <w:rFonts w:ascii="黑体" w:eastAsia="黑体" w:hAnsi="黑体" w:hint="eastAsia"/>
          <w:szCs w:val="21"/>
        </w:rPr>
        <w:t>）</w:t>
      </w:r>
    </w:p>
    <w:p w14:paraId="775215AD" w14:textId="77777777" w:rsidR="000629FB" w:rsidRDefault="000629FB">
      <w:pPr>
        <w:spacing w:line="360" w:lineRule="auto"/>
        <w:jc w:val="center"/>
        <w:rPr>
          <w:rFonts w:ascii="黑体" w:eastAsia="黑体" w:hAnsi="黑体"/>
          <w:szCs w:val="21"/>
        </w:rPr>
      </w:pPr>
    </w:p>
    <w:p w14:paraId="23167780" w14:textId="77777777" w:rsidR="000629FB" w:rsidRDefault="003020C5">
      <w:pPr>
        <w:spacing w:line="360" w:lineRule="auto"/>
        <w:ind w:firstLineChars="700" w:firstLine="147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鑫元基金</w:t>
      </w:r>
    </w:p>
    <w:p w14:paraId="2FF32CDD" w14:textId="77777777" w:rsidR="000629FB" w:rsidRDefault="003020C5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</w:t>
      </w:r>
      <w:r>
        <w:rPr>
          <w:rFonts w:ascii="仿宋" w:eastAsia="仿宋" w:hAnsi="仿宋"/>
          <w:b/>
          <w:sz w:val="24"/>
          <w:szCs w:val="24"/>
        </w:rPr>
        <w:t>周美债</w:t>
      </w:r>
      <w:r>
        <w:rPr>
          <w:rFonts w:ascii="仿宋" w:eastAsia="仿宋" w:hAnsi="仿宋" w:hint="eastAsia"/>
          <w:b/>
          <w:sz w:val="24"/>
          <w:szCs w:val="24"/>
        </w:rPr>
        <w:t>收益率短期上行，长期下行。</w:t>
      </w:r>
      <w:r>
        <w:rPr>
          <w:rFonts w:ascii="仿宋" w:eastAsia="仿宋" w:hAnsi="仿宋" w:hint="eastAsia"/>
          <w:sz w:val="24"/>
          <w:szCs w:val="24"/>
        </w:rPr>
        <w:t>上周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/>
          <w:sz w:val="24"/>
          <w:szCs w:val="24"/>
        </w:rPr>
        <w:t>年期美债收益率</w:t>
      </w:r>
      <w:r>
        <w:rPr>
          <w:rFonts w:ascii="仿宋" w:eastAsia="仿宋" w:hAnsi="仿宋" w:hint="eastAsia"/>
          <w:sz w:val="24"/>
          <w:szCs w:val="24"/>
        </w:rPr>
        <w:t>下行</w:t>
      </w:r>
      <w:r>
        <w:rPr>
          <w:rFonts w:ascii="仿宋" w:eastAsia="仿宋" w:hAnsi="仿宋"/>
          <w:sz w:val="24"/>
          <w:szCs w:val="24"/>
        </w:rPr>
        <w:t>12</w:t>
      </w:r>
      <w:r>
        <w:rPr>
          <w:rFonts w:ascii="仿宋" w:eastAsia="仿宋" w:hAnsi="仿宋" w:hint="eastAsia"/>
          <w:sz w:val="24"/>
          <w:szCs w:val="24"/>
        </w:rPr>
        <w:t>BP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年期国债收益率下行</w:t>
      </w:r>
      <w:r>
        <w:rPr>
          <w:rFonts w:ascii="仿宋" w:eastAsia="仿宋" w:hAnsi="仿宋"/>
          <w:sz w:val="24"/>
          <w:szCs w:val="24"/>
        </w:rPr>
        <w:t>7.5</w:t>
      </w:r>
      <w:r>
        <w:rPr>
          <w:rFonts w:ascii="仿宋" w:eastAsia="仿宋" w:hAnsi="仿宋" w:hint="eastAsia"/>
          <w:sz w:val="24"/>
          <w:szCs w:val="24"/>
        </w:rPr>
        <w:t>BP</w:t>
      </w:r>
      <w:r>
        <w:rPr>
          <w:rFonts w:ascii="仿宋" w:eastAsia="仿宋" w:hAnsi="仿宋"/>
          <w:sz w:val="24"/>
          <w:szCs w:val="24"/>
        </w:rPr>
        <w:t>，中美利差倒挂</w:t>
      </w:r>
      <w:r>
        <w:rPr>
          <w:rFonts w:ascii="仿宋" w:eastAsia="仿宋" w:hAnsi="仿宋" w:hint="eastAsia"/>
          <w:sz w:val="24"/>
          <w:szCs w:val="24"/>
        </w:rPr>
        <w:t>程度有所缓解</w:t>
      </w:r>
      <w:r>
        <w:rPr>
          <w:rFonts w:ascii="仿宋" w:eastAsia="仿宋" w:hAnsi="仿宋"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全周来看，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年期美债收益率上行</w:t>
      </w:r>
      <w:r>
        <w:rPr>
          <w:rFonts w:ascii="仿宋" w:eastAsia="仿宋" w:hAnsi="仿宋"/>
          <w:sz w:val="24"/>
          <w:szCs w:val="24"/>
        </w:rPr>
        <w:t>2BP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年期美债收益率下行</w:t>
      </w:r>
      <w:r>
        <w:rPr>
          <w:rFonts w:ascii="仿宋" w:eastAsia="仿宋" w:hAnsi="仿宋"/>
          <w:sz w:val="24"/>
          <w:szCs w:val="24"/>
        </w:rPr>
        <w:t>1BP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年期美债收益率下行</w:t>
      </w:r>
      <w:r>
        <w:rPr>
          <w:rFonts w:ascii="仿宋" w:eastAsia="仿宋" w:hAnsi="仿宋"/>
          <w:sz w:val="24"/>
          <w:szCs w:val="24"/>
        </w:rPr>
        <w:t>12BP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1F0CD914" w14:textId="77777777" w:rsidR="000629FB" w:rsidRDefault="003020C5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anchor distT="0" distB="0" distL="0" distR="0" simplePos="0" relativeHeight="12" behindDoc="0" locked="0" layoutInCell="1" allowOverlap="1" wp14:anchorId="6195CF2A" wp14:editId="4B3968CE">
            <wp:simplePos x="0" y="0"/>
            <wp:positionH relativeFrom="column">
              <wp:posOffset>815975</wp:posOffset>
            </wp:positionH>
            <wp:positionV relativeFrom="paragraph">
              <wp:posOffset>335915</wp:posOffset>
            </wp:positionV>
            <wp:extent cx="4556760" cy="2413000"/>
            <wp:effectExtent l="0" t="0" r="0" b="6350"/>
            <wp:wrapTopAndBottom/>
            <wp:docPr id="1040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/>
                  </pic:nvPicPr>
                  <pic:blipFill>
                    <a:blip r:embed="rId23" cstate="print"/>
                    <a:srcRect/>
                    <a:stretch/>
                  </pic:blipFill>
                  <pic:spPr>
                    <a:xfrm>
                      <a:off x="0" y="0"/>
                      <a:ext cx="455676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/>
          <w:szCs w:val="21"/>
        </w:rPr>
        <w:t>6</w:t>
      </w:r>
      <w:r>
        <w:rPr>
          <w:rFonts w:ascii="黑体" w:eastAsia="黑体" w:hAnsi="黑体" w:hint="eastAsia"/>
          <w:szCs w:val="21"/>
        </w:rPr>
        <w:t>：</w:t>
      </w: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/>
          <w:szCs w:val="21"/>
        </w:rPr>
        <w:t>0</w:t>
      </w:r>
      <w:r>
        <w:rPr>
          <w:rFonts w:ascii="黑体" w:eastAsia="黑体" w:hAnsi="黑体" w:hint="eastAsia"/>
          <w:szCs w:val="21"/>
        </w:rPr>
        <w:t>年期和</w:t>
      </w:r>
      <w:r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 w:hint="eastAsia"/>
          <w:szCs w:val="21"/>
        </w:rPr>
        <w:t>年期美债收益率走势</w:t>
      </w:r>
    </w:p>
    <w:p w14:paraId="4AF08FFC" w14:textId="77777777" w:rsidR="000629FB" w:rsidRDefault="003020C5">
      <w:pPr>
        <w:spacing w:line="360" w:lineRule="auto"/>
        <w:ind w:left="84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鑫元基金</w:t>
      </w:r>
    </w:p>
    <w:p w14:paraId="09D08779" w14:textId="77777777" w:rsidR="000629FB" w:rsidRDefault="003020C5">
      <w:pPr>
        <w:spacing w:line="360" w:lineRule="auto"/>
        <w:ind w:firstLine="480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（四）外汇市场</w:t>
      </w:r>
    </w:p>
    <w:p w14:paraId="1FE9E707" w14:textId="77777777" w:rsidR="000629FB" w:rsidRDefault="003020C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</w:t>
      </w:r>
      <w:r>
        <w:rPr>
          <w:rFonts w:ascii="仿宋" w:eastAsia="仿宋" w:hAnsi="仿宋"/>
          <w:b/>
          <w:sz w:val="24"/>
          <w:szCs w:val="24"/>
        </w:rPr>
        <w:t>周美元指数</w:t>
      </w:r>
      <w:r>
        <w:rPr>
          <w:rFonts w:ascii="仿宋" w:eastAsia="仿宋" w:hAnsi="仿宋" w:hint="eastAsia"/>
          <w:b/>
          <w:sz w:val="24"/>
          <w:szCs w:val="24"/>
        </w:rPr>
        <w:t>上行，</w:t>
      </w:r>
      <w:r>
        <w:rPr>
          <w:rFonts w:ascii="仿宋" w:eastAsia="仿宋" w:hAnsi="仿宋"/>
          <w:b/>
          <w:sz w:val="24"/>
          <w:szCs w:val="24"/>
        </w:rPr>
        <w:t>在岸人民币汇率</w:t>
      </w:r>
      <w:r>
        <w:rPr>
          <w:rFonts w:ascii="仿宋" w:eastAsia="仿宋" w:hAnsi="仿宋" w:hint="eastAsia"/>
          <w:b/>
          <w:sz w:val="24"/>
          <w:szCs w:val="24"/>
        </w:rPr>
        <w:t>升值，离岸人民币贬值。</w:t>
      </w:r>
      <w:r>
        <w:rPr>
          <w:rFonts w:ascii="仿宋" w:eastAsia="仿宋" w:hAnsi="仿宋" w:hint="eastAsia"/>
          <w:sz w:val="24"/>
          <w:szCs w:val="24"/>
        </w:rPr>
        <w:t>上周美元指数上升</w:t>
      </w:r>
      <w:r>
        <w:rPr>
          <w:rFonts w:ascii="仿宋" w:eastAsia="仿宋" w:hAnsi="仿宋"/>
          <w:sz w:val="24"/>
          <w:szCs w:val="24"/>
        </w:rPr>
        <w:t>0.47</w:t>
      </w:r>
      <w:r>
        <w:rPr>
          <w:rFonts w:ascii="仿宋" w:eastAsia="仿宋" w:hAnsi="仿宋" w:hint="eastAsia"/>
          <w:sz w:val="24"/>
          <w:szCs w:val="24"/>
        </w:rPr>
        <w:t>%</w:t>
      </w:r>
      <w:r>
        <w:rPr>
          <w:rFonts w:ascii="仿宋" w:eastAsia="仿宋" w:hAnsi="仿宋" w:hint="eastAsia"/>
          <w:sz w:val="24"/>
          <w:szCs w:val="24"/>
        </w:rPr>
        <w:t>，在岸人民币汇率有所升值，中间价升值</w:t>
      </w:r>
      <w:r>
        <w:rPr>
          <w:rFonts w:ascii="仿宋" w:eastAsia="仿宋" w:hAnsi="仿宋"/>
          <w:sz w:val="24"/>
          <w:szCs w:val="24"/>
        </w:rPr>
        <w:t>0.1</w:t>
      </w:r>
      <w:r>
        <w:rPr>
          <w:rFonts w:ascii="仿宋" w:eastAsia="仿宋" w:hAnsi="仿宋" w:hint="eastAsia"/>
          <w:sz w:val="24"/>
          <w:szCs w:val="24"/>
        </w:rPr>
        <w:t>%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即期汇率</w:t>
      </w:r>
      <w:r>
        <w:rPr>
          <w:rFonts w:ascii="仿宋" w:eastAsia="仿宋" w:hAnsi="仿宋" w:hint="eastAsia"/>
          <w:sz w:val="24"/>
          <w:szCs w:val="24"/>
        </w:rPr>
        <w:t>升值</w:t>
      </w:r>
      <w:r>
        <w:rPr>
          <w:rFonts w:ascii="仿宋" w:eastAsia="仿宋" w:hAnsi="仿宋"/>
          <w:sz w:val="24"/>
          <w:szCs w:val="24"/>
        </w:rPr>
        <w:t>0.02</w:t>
      </w:r>
      <w:r>
        <w:rPr>
          <w:rFonts w:ascii="仿宋" w:eastAsia="仿宋" w:hAnsi="仿宋" w:hint="eastAsia"/>
          <w:sz w:val="24"/>
          <w:szCs w:val="24"/>
        </w:rPr>
        <w:t>%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离岸人民币汇率</w:t>
      </w:r>
      <w:r>
        <w:rPr>
          <w:rFonts w:ascii="仿宋" w:eastAsia="仿宋" w:hAnsi="仿宋" w:hint="eastAsia"/>
          <w:sz w:val="24"/>
          <w:szCs w:val="24"/>
        </w:rPr>
        <w:t>贬值</w:t>
      </w:r>
      <w:r>
        <w:rPr>
          <w:rFonts w:ascii="仿宋" w:eastAsia="仿宋" w:hAnsi="仿宋"/>
          <w:sz w:val="24"/>
          <w:szCs w:val="24"/>
        </w:rPr>
        <w:t>0.38</w:t>
      </w:r>
      <w:r>
        <w:rPr>
          <w:rFonts w:ascii="仿宋" w:eastAsia="仿宋" w:hAnsi="仿宋" w:hint="eastAsia"/>
          <w:sz w:val="24"/>
          <w:szCs w:val="24"/>
        </w:rPr>
        <w:t>%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6B50C89D" w14:textId="77777777" w:rsidR="000629FB" w:rsidRDefault="003020C5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>
        <w:rPr>
          <w:rFonts w:ascii="黑体" w:eastAsia="黑体" w:hAnsi="黑体" w:hint="eastAsia"/>
          <w:szCs w:val="21"/>
        </w:rPr>
        <w:t>表</w:t>
      </w:r>
      <w:r>
        <w:rPr>
          <w:rFonts w:ascii="黑体" w:eastAsia="黑体" w:hAnsi="黑体" w:hint="eastAsia"/>
          <w:szCs w:val="21"/>
        </w:rPr>
        <w:t>4</w:t>
      </w:r>
      <w:r>
        <w:rPr>
          <w:rFonts w:ascii="黑体" w:eastAsia="黑体" w:hAnsi="黑体" w:hint="eastAsia"/>
          <w:szCs w:val="21"/>
        </w:rPr>
        <w:t>：上周美元及人民币汇率升贬值</w:t>
      </w:r>
    </w:p>
    <w:tbl>
      <w:tblPr>
        <w:tblW w:w="9026" w:type="dxa"/>
        <w:jc w:val="center"/>
        <w:tblLook w:val="04A0" w:firstRow="1" w:lastRow="0" w:firstColumn="1" w:lastColumn="0" w:noHBand="0" w:noVBand="1"/>
      </w:tblPr>
      <w:tblGrid>
        <w:gridCol w:w="1418"/>
        <w:gridCol w:w="1427"/>
        <w:gridCol w:w="1843"/>
        <w:gridCol w:w="2410"/>
        <w:gridCol w:w="1928"/>
      </w:tblGrid>
      <w:tr w:rsidR="000629FB" w14:paraId="76E6201C" w14:textId="77777777">
        <w:trPr>
          <w:trHeight w:val="840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  <w:hideMark/>
          </w:tcPr>
          <w:p w14:paraId="152D1D68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2"/>
              </w:rPr>
            </w:pPr>
            <w:bookmarkStart w:id="1" w:name="_Hlk128314546"/>
            <w:r>
              <w:rPr>
                <w:rFonts w:ascii="宋体" w:hAnsi="宋体" w:hint="eastAsia"/>
                <w:b/>
                <w:bCs/>
                <w:color w:val="FFFFFF"/>
                <w:sz w:val="22"/>
              </w:rPr>
              <w:lastRenderedPageBreak/>
              <w:t>项目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vAlign w:val="center"/>
            <w:hideMark/>
          </w:tcPr>
          <w:p w14:paraId="7ECDE7AF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2"/>
              </w:rPr>
              <w:t>美元指数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vAlign w:val="center"/>
            <w:hideMark/>
          </w:tcPr>
          <w:p w14:paraId="3C3E1AA9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2"/>
              </w:rPr>
              <w:t>美元兑人民币：中间价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vAlign w:val="center"/>
            <w:hideMark/>
          </w:tcPr>
          <w:p w14:paraId="3591A96D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2"/>
              </w:rPr>
              <w:t>美元兑人民币：即期汇率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FABF8F"/>
              <w:right w:val="single" w:sz="8" w:space="0" w:color="auto"/>
            </w:tcBorders>
            <w:shd w:val="clear" w:color="F79646" w:fill="F79646"/>
            <w:vAlign w:val="center"/>
            <w:hideMark/>
          </w:tcPr>
          <w:p w14:paraId="301D80E2" w14:textId="77777777" w:rsidR="000629FB" w:rsidRDefault="003020C5">
            <w:pPr>
              <w:widowControl/>
              <w:jc w:val="center"/>
              <w:rPr>
                <w:rFonts w:ascii="宋体" w:hAnsi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22"/>
              </w:rPr>
              <w:t>美元兑人民币：离岸</w:t>
            </w:r>
          </w:p>
        </w:tc>
      </w:tr>
      <w:tr w:rsidR="000629FB" w14:paraId="117CEDDF" w14:textId="77777777">
        <w:trPr>
          <w:trHeight w:val="280"/>
          <w:jc w:val="center"/>
        </w:trPr>
        <w:tc>
          <w:tcPr>
            <w:tcW w:w="141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756AD358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选定日期</w:t>
            </w:r>
          </w:p>
        </w:tc>
        <w:tc>
          <w:tcPr>
            <w:tcW w:w="142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1E3ADCDE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103.9655</w:t>
            </w:r>
          </w:p>
        </w:tc>
        <w:tc>
          <w:tcPr>
            <w:tcW w:w="1843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5337FAE7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7.1006</w:t>
            </w:r>
          </w:p>
        </w:tc>
        <w:tc>
          <w:tcPr>
            <w:tcW w:w="241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  <w:hideMark/>
          </w:tcPr>
          <w:p w14:paraId="25A149FC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7.1793</w:t>
            </w:r>
          </w:p>
        </w:tc>
        <w:tc>
          <w:tcPr>
            <w:tcW w:w="192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14:paraId="37A008C3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7.2161</w:t>
            </w:r>
          </w:p>
        </w:tc>
      </w:tr>
      <w:tr w:rsidR="000629FB" w14:paraId="3975971C" w14:textId="77777777">
        <w:trPr>
          <w:trHeight w:val="280"/>
          <w:jc w:val="center"/>
        </w:trPr>
        <w:tc>
          <w:tcPr>
            <w:tcW w:w="1418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00BE2D00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对照日期</w:t>
            </w:r>
          </w:p>
        </w:tc>
        <w:tc>
          <w:tcPr>
            <w:tcW w:w="142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1AD11A31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103.4744</w:t>
            </w:r>
          </w:p>
        </w:tc>
        <w:tc>
          <w:tcPr>
            <w:tcW w:w="1843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62E67E53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7.1074</w:t>
            </w:r>
          </w:p>
        </w:tc>
        <w:tc>
          <w:tcPr>
            <w:tcW w:w="241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  <w:hideMark/>
          </w:tcPr>
          <w:p w14:paraId="3F892828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7.1808</w:t>
            </w:r>
          </w:p>
        </w:tc>
        <w:tc>
          <w:tcPr>
            <w:tcW w:w="1928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65B34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7.1885</w:t>
            </w:r>
          </w:p>
        </w:tc>
      </w:tr>
      <w:tr w:rsidR="000629FB" w14:paraId="28D61AB6" w14:textId="77777777">
        <w:trPr>
          <w:trHeight w:val="280"/>
          <w:jc w:val="center"/>
        </w:trPr>
        <w:tc>
          <w:tcPr>
            <w:tcW w:w="1418" w:type="dxa"/>
            <w:tcBorders>
              <w:top w:val="single" w:sz="4" w:space="0" w:color="FABF8F"/>
              <w:left w:val="single" w:sz="8" w:space="0" w:color="auto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14:paraId="6F32D001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涨跌</w:t>
            </w:r>
          </w:p>
        </w:tc>
        <w:tc>
          <w:tcPr>
            <w:tcW w:w="1427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14:paraId="0B62B778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0.47%</w:t>
            </w:r>
          </w:p>
        </w:tc>
        <w:tc>
          <w:tcPr>
            <w:tcW w:w="1843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14:paraId="652528DE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0.10%</w:t>
            </w:r>
          </w:p>
        </w:tc>
        <w:tc>
          <w:tcPr>
            <w:tcW w:w="2410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  <w:hideMark/>
          </w:tcPr>
          <w:p w14:paraId="5D9DC847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0.02%</w:t>
            </w:r>
          </w:p>
        </w:tc>
        <w:tc>
          <w:tcPr>
            <w:tcW w:w="1928" w:type="dxa"/>
            <w:tcBorders>
              <w:top w:val="single" w:sz="4" w:space="0" w:color="FABF8F"/>
              <w:left w:val="nil"/>
              <w:bottom w:val="single" w:sz="8" w:space="0" w:color="auto"/>
              <w:right w:val="single" w:sz="8" w:space="0" w:color="auto"/>
            </w:tcBorders>
            <w:shd w:val="clear" w:color="FDE9D9" w:fill="FDE9D9"/>
            <w:noWrap/>
            <w:vAlign w:val="center"/>
            <w:hideMark/>
          </w:tcPr>
          <w:p w14:paraId="091940C2" w14:textId="77777777" w:rsidR="000629FB" w:rsidRDefault="003020C5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-0.38%</w:t>
            </w:r>
          </w:p>
        </w:tc>
      </w:tr>
    </w:tbl>
    <w:p w14:paraId="38CB6F7D" w14:textId="77777777" w:rsidR="000629FB" w:rsidRDefault="003020C5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鑫元基金</w:t>
      </w:r>
    </w:p>
    <w:bookmarkEnd w:id="1"/>
    <w:p w14:paraId="6F80F12A" w14:textId="77777777" w:rsidR="000629FB" w:rsidRDefault="003020C5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注：外汇汇率数据为前周和上周最后一个交易日收盘价，涨跌幅反映当周变动幅度</w:t>
      </w:r>
    </w:p>
    <w:p w14:paraId="40B0C188" w14:textId="77777777" w:rsidR="000629FB" w:rsidRDefault="003020C5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四、市场展望及投资策略</w:t>
      </w:r>
    </w:p>
    <w:p w14:paraId="57FD6030" w14:textId="77777777" w:rsidR="000629FB" w:rsidRDefault="003020C5">
      <w:pPr>
        <w:spacing w:line="360" w:lineRule="auto"/>
        <w:ind w:firstLineChars="200" w:firstLine="482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（一）宏观展望</w:t>
      </w:r>
    </w:p>
    <w:p w14:paraId="2E5FECDA" w14:textId="77777777" w:rsidR="000629FB" w:rsidRDefault="003020C5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宏观方面，</w:t>
      </w:r>
      <w:r>
        <w:rPr>
          <w:rFonts w:ascii="仿宋" w:eastAsia="仿宋" w:hAnsi="仿宋" w:hint="eastAsia"/>
          <w:bCs/>
          <w:sz w:val="24"/>
          <w:szCs w:val="24"/>
        </w:rPr>
        <w:t>1</w:t>
      </w:r>
      <w:r>
        <w:rPr>
          <w:rFonts w:ascii="仿宋" w:eastAsia="仿宋" w:hAnsi="仿宋" w:hint="eastAsia"/>
          <w:bCs/>
          <w:sz w:val="24"/>
          <w:szCs w:val="24"/>
        </w:rPr>
        <w:t>月国内</w:t>
      </w:r>
      <w:r>
        <w:rPr>
          <w:rFonts w:ascii="仿宋" w:eastAsia="仿宋" w:hAnsi="仿宋" w:hint="eastAsia"/>
          <w:bCs/>
          <w:sz w:val="24"/>
          <w:szCs w:val="24"/>
        </w:rPr>
        <w:t>PMI</w:t>
      </w:r>
      <w:r>
        <w:rPr>
          <w:rFonts w:ascii="仿宋" w:eastAsia="仿宋" w:hAnsi="仿宋" w:hint="eastAsia"/>
          <w:bCs/>
          <w:sz w:val="24"/>
          <w:szCs w:val="24"/>
        </w:rPr>
        <w:t>环比小幅改善，美国非农就业强于预期。国内方面，</w:t>
      </w:r>
      <w:r>
        <w:rPr>
          <w:rFonts w:ascii="仿宋" w:eastAsia="仿宋" w:hAnsi="仿宋" w:hint="eastAsia"/>
          <w:bCs/>
          <w:sz w:val="24"/>
          <w:szCs w:val="24"/>
        </w:rPr>
        <w:t>1</w:t>
      </w:r>
      <w:r>
        <w:rPr>
          <w:rFonts w:ascii="仿宋" w:eastAsia="仿宋" w:hAnsi="仿宋" w:hint="eastAsia"/>
          <w:bCs/>
          <w:sz w:val="24"/>
          <w:szCs w:val="24"/>
        </w:rPr>
        <w:t>月官方制造业</w:t>
      </w:r>
      <w:r>
        <w:rPr>
          <w:rFonts w:ascii="仿宋" w:eastAsia="仿宋" w:hAnsi="仿宋" w:hint="eastAsia"/>
          <w:bCs/>
          <w:sz w:val="24"/>
          <w:szCs w:val="24"/>
        </w:rPr>
        <w:t>PMI</w:t>
      </w:r>
      <w:r>
        <w:rPr>
          <w:rFonts w:ascii="仿宋" w:eastAsia="仿宋" w:hAnsi="仿宋" w:hint="eastAsia"/>
          <w:bCs/>
          <w:sz w:val="24"/>
          <w:szCs w:val="24"/>
        </w:rPr>
        <w:t>录得</w:t>
      </w:r>
      <w:r>
        <w:rPr>
          <w:rFonts w:ascii="仿宋" w:eastAsia="仿宋" w:hAnsi="仿宋" w:hint="eastAsia"/>
          <w:bCs/>
          <w:sz w:val="24"/>
          <w:szCs w:val="24"/>
        </w:rPr>
        <w:t>49.2%</w:t>
      </w:r>
      <w:r>
        <w:rPr>
          <w:rFonts w:ascii="仿宋" w:eastAsia="仿宋" w:hAnsi="仿宋" w:hint="eastAsia"/>
          <w:bCs/>
          <w:sz w:val="24"/>
          <w:szCs w:val="24"/>
        </w:rPr>
        <w:t>，较</w:t>
      </w:r>
      <w:r>
        <w:rPr>
          <w:rFonts w:ascii="仿宋" w:eastAsia="仿宋" w:hAnsi="仿宋" w:hint="eastAsia"/>
          <w:bCs/>
          <w:sz w:val="24"/>
          <w:szCs w:val="24"/>
        </w:rPr>
        <w:t>2023</w:t>
      </w:r>
      <w:r>
        <w:rPr>
          <w:rFonts w:ascii="仿宋" w:eastAsia="仿宋" w:hAnsi="仿宋" w:hint="eastAsia"/>
          <w:bCs/>
          <w:sz w:val="24"/>
          <w:szCs w:val="24"/>
        </w:rPr>
        <w:t>年</w:t>
      </w:r>
      <w:r>
        <w:rPr>
          <w:rFonts w:ascii="仿宋" w:eastAsia="仿宋" w:hAnsi="仿宋" w:hint="eastAsia"/>
          <w:bCs/>
          <w:sz w:val="24"/>
          <w:szCs w:val="24"/>
        </w:rPr>
        <w:t>12</w:t>
      </w:r>
      <w:r>
        <w:rPr>
          <w:rFonts w:ascii="仿宋" w:eastAsia="仿宋" w:hAnsi="仿宋" w:hint="eastAsia"/>
          <w:bCs/>
          <w:sz w:val="24"/>
          <w:szCs w:val="24"/>
        </w:rPr>
        <w:t>月的</w:t>
      </w:r>
      <w:r>
        <w:rPr>
          <w:rFonts w:ascii="仿宋" w:eastAsia="仿宋" w:hAnsi="仿宋" w:hint="eastAsia"/>
          <w:bCs/>
          <w:sz w:val="24"/>
          <w:szCs w:val="24"/>
        </w:rPr>
        <w:t>49%</w:t>
      </w:r>
      <w:r>
        <w:rPr>
          <w:rFonts w:ascii="仿宋" w:eastAsia="仿宋" w:hAnsi="仿宋" w:hint="eastAsia"/>
          <w:bCs/>
          <w:sz w:val="24"/>
          <w:szCs w:val="24"/>
        </w:rPr>
        <w:t>小幅上行</w:t>
      </w:r>
      <w:r>
        <w:rPr>
          <w:rFonts w:ascii="仿宋" w:eastAsia="仿宋" w:hAnsi="仿宋" w:hint="eastAsia"/>
          <w:bCs/>
          <w:sz w:val="24"/>
          <w:szCs w:val="24"/>
        </w:rPr>
        <w:t>0.2%</w:t>
      </w:r>
      <w:r>
        <w:rPr>
          <w:rFonts w:ascii="仿宋" w:eastAsia="仿宋" w:hAnsi="仿宋" w:hint="eastAsia"/>
          <w:bCs/>
          <w:sz w:val="24"/>
          <w:szCs w:val="24"/>
        </w:rPr>
        <w:t>，仍位于荣枯线以下，且位于季节性下沿，显示当前宏观经济改善步伐偏慢。分项来看，</w:t>
      </w:r>
      <w:r>
        <w:rPr>
          <w:rFonts w:ascii="仿宋" w:eastAsia="仿宋" w:hAnsi="仿宋" w:hint="eastAsia"/>
          <w:bCs/>
          <w:sz w:val="24"/>
          <w:szCs w:val="24"/>
        </w:rPr>
        <w:t>1</w:t>
      </w:r>
      <w:r>
        <w:rPr>
          <w:rFonts w:ascii="仿宋" w:eastAsia="仿宋" w:hAnsi="仿宋" w:hint="eastAsia"/>
          <w:bCs/>
          <w:sz w:val="24"/>
          <w:szCs w:val="24"/>
        </w:rPr>
        <w:t>月</w:t>
      </w:r>
      <w:r>
        <w:rPr>
          <w:rFonts w:ascii="仿宋" w:eastAsia="仿宋" w:hAnsi="仿宋" w:hint="eastAsia"/>
          <w:bCs/>
          <w:sz w:val="24"/>
          <w:szCs w:val="24"/>
        </w:rPr>
        <w:t>PMI</w:t>
      </w:r>
      <w:r>
        <w:rPr>
          <w:rFonts w:ascii="仿宋" w:eastAsia="仿宋" w:hAnsi="仿宋" w:hint="eastAsia"/>
          <w:bCs/>
          <w:sz w:val="24"/>
          <w:szCs w:val="24"/>
        </w:rPr>
        <w:t>产需指数小幅回升，在手订单和新出口订单均有一定改善，但价格指数继续回落，企业盈利压力仍存。海外方面，美联储</w:t>
      </w:r>
      <w:r>
        <w:rPr>
          <w:rFonts w:ascii="仿宋" w:eastAsia="仿宋" w:hAnsi="仿宋" w:hint="eastAsia"/>
          <w:bCs/>
          <w:sz w:val="24"/>
          <w:szCs w:val="24"/>
        </w:rPr>
        <w:t>1</w:t>
      </w:r>
      <w:r>
        <w:rPr>
          <w:rFonts w:ascii="仿宋" w:eastAsia="仿宋" w:hAnsi="仿宋" w:hint="eastAsia"/>
          <w:bCs/>
          <w:sz w:val="24"/>
          <w:szCs w:val="24"/>
        </w:rPr>
        <w:t>月</w:t>
      </w:r>
      <w:r>
        <w:rPr>
          <w:rFonts w:ascii="仿宋" w:eastAsia="仿宋" w:hAnsi="仿宋" w:hint="eastAsia"/>
          <w:bCs/>
          <w:sz w:val="24"/>
          <w:szCs w:val="24"/>
        </w:rPr>
        <w:t>FOMC</w:t>
      </w:r>
      <w:r>
        <w:rPr>
          <w:rFonts w:ascii="仿宋" w:eastAsia="仿宋" w:hAnsi="仿宋" w:hint="eastAsia"/>
          <w:bCs/>
          <w:sz w:val="24"/>
          <w:szCs w:val="24"/>
        </w:rPr>
        <w:t>会议决议维持</w:t>
      </w:r>
      <w:r>
        <w:rPr>
          <w:rFonts w:ascii="仿宋" w:eastAsia="仿宋" w:hAnsi="仿宋" w:hint="eastAsia"/>
          <w:bCs/>
          <w:sz w:val="24"/>
          <w:szCs w:val="24"/>
        </w:rPr>
        <w:t>5.25%-5.50%</w:t>
      </w:r>
      <w:r>
        <w:rPr>
          <w:rFonts w:ascii="仿宋" w:eastAsia="仿宋" w:hAnsi="仿宋" w:hint="eastAsia"/>
          <w:bCs/>
          <w:sz w:val="24"/>
          <w:szCs w:val="24"/>
        </w:rPr>
        <w:t>利率水平不变，符合市场预期，会议删除了增量紧缩相关表述，本轮加息周期结束基本确定。但与此同时，会议表示短期不会考虑降息，浇灭</w:t>
      </w:r>
      <w:r>
        <w:rPr>
          <w:rFonts w:ascii="仿宋" w:eastAsia="仿宋" w:hAnsi="仿宋" w:hint="eastAsia"/>
          <w:bCs/>
          <w:sz w:val="24"/>
          <w:szCs w:val="24"/>
        </w:rPr>
        <w:t>了市场</w:t>
      </w:r>
      <w:r>
        <w:rPr>
          <w:rFonts w:ascii="仿宋" w:eastAsia="仿宋" w:hAnsi="仿宋" w:hint="eastAsia"/>
          <w:bCs/>
          <w:sz w:val="24"/>
          <w:szCs w:val="24"/>
        </w:rPr>
        <w:t>3</w:t>
      </w:r>
      <w:r>
        <w:rPr>
          <w:rFonts w:ascii="仿宋" w:eastAsia="仿宋" w:hAnsi="仿宋" w:hint="eastAsia"/>
          <w:bCs/>
          <w:sz w:val="24"/>
          <w:szCs w:val="24"/>
        </w:rPr>
        <w:t>月开启降息的预期。市场解读本轮</w:t>
      </w:r>
      <w:r>
        <w:rPr>
          <w:rFonts w:ascii="仿宋" w:eastAsia="仿宋" w:hAnsi="仿宋" w:hint="eastAsia"/>
          <w:bCs/>
          <w:sz w:val="24"/>
          <w:szCs w:val="24"/>
        </w:rPr>
        <w:t>FOMC</w:t>
      </w:r>
      <w:r>
        <w:rPr>
          <w:rFonts w:ascii="仿宋" w:eastAsia="仿宋" w:hAnsi="仿宋" w:hint="eastAsia"/>
          <w:bCs/>
          <w:sz w:val="24"/>
          <w:szCs w:val="24"/>
        </w:rPr>
        <w:t>会议总体偏鹰。美国</w:t>
      </w:r>
      <w:r>
        <w:rPr>
          <w:rFonts w:ascii="仿宋" w:eastAsia="仿宋" w:hAnsi="仿宋" w:hint="eastAsia"/>
          <w:bCs/>
          <w:sz w:val="24"/>
          <w:szCs w:val="24"/>
        </w:rPr>
        <w:t>1</w:t>
      </w:r>
      <w:r>
        <w:rPr>
          <w:rFonts w:ascii="仿宋" w:eastAsia="仿宋" w:hAnsi="仿宋" w:hint="eastAsia"/>
          <w:bCs/>
          <w:sz w:val="24"/>
          <w:szCs w:val="24"/>
        </w:rPr>
        <w:t>月非农数据大超预期，失业率维持低位，时薪环比超预期回升，显示美国就业市场相对偏强。</w:t>
      </w:r>
    </w:p>
    <w:p w14:paraId="310E31C0" w14:textId="77777777" w:rsidR="000629FB" w:rsidRDefault="003020C5">
      <w:pPr>
        <w:spacing w:line="360" w:lineRule="auto"/>
        <w:ind w:firstLineChars="200" w:firstLine="482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（二）</w:t>
      </w:r>
      <w:r>
        <w:rPr>
          <w:rFonts w:ascii="楷体" w:eastAsia="楷体" w:hAnsi="楷体"/>
          <w:b/>
          <w:bCs/>
          <w:sz w:val="24"/>
          <w:szCs w:val="24"/>
        </w:rPr>
        <w:t>权益市场展望和策略</w:t>
      </w:r>
    </w:p>
    <w:p w14:paraId="08976254" w14:textId="77777777" w:rsidR="000629FB" w:rsidRDefault="003020C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上周权益市场大幅下跌，根本原因是流动性不足。流动性风险产生的原因有以下几点：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）宏观原因。</w:t>
      </w:r>
      <w:r>
        <w:rPr>
          <w:rFonts w:ascii="仿宋" w:eastAsia="仿宋" w:hAnsi="仿宋" w:hint="eastAsia"/>
          <w:sz w:val="24"/>
          <w:szCs w:val="24"/>
        </w:rPr>
        <w:t>2023</w:t>
      </w:r>
      <w:r>
        <w:rPr>
          <w:rFonts w:ascii="仿宋" w:eastAsia="仿宋" w:hAnsi="仿宋" w:hint="eastAsia"/>
          <w:sz w:val="24"/>
          <w:szCs w:val="24"/>
        </w:rPr>
        <w:t>年下半年美元的实际利率上行，对于新兴市场造成了较大的流出压力，部分消耗了</w:t>
      </w:r>
      <w:r>
        <w:rPr>
          <w:rFonts w:ascii="仿宋" w:eastAsia="仿宋" w:hAnsi="仿宋" w:hint="eastAsia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股市场内部的流动性。从</w:t>
      </w:r>
      <w:r>
        <w:rPr>
          <w:rFonts w:ascii="仿宋" w:eastAsia="仿宋" w:hAnsi="仿宋" w:hint="eastAsia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月以来，国内金融维持紧缩条件，推动无风险利率持续下行，造成系统性风险偏好不断下降，对应权益的估值受到压制。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）行业原因。以沪深</w:t>
      </w:r>
      <w:r>
        <w:rPr>
          <w:rFonts w:ascii="仿宋" w:eastAsia="仿宋" w:hAnsi="仿宋" w:hint="eastAsia"/>
          <w:sz w:val="24"/>
          <w:szCs w:val="24"/>
        </w:rPr>
        <w:t>300</w:t>
      </w:r>
      <w:r>
        <w:rPr>
          <w:rFonts w:ascii="仿宋" w:eastAsia="仿宋" w:hAnsi="仿宋" w:hint="eastAsia"/>
          <w:sz w:val="24"/>
          <w:szCs w:val="24"/>
        </w:rPr>
        <w:t>为代表的强宏观资产被减持，内外资均转向哑铃型策略，买入弱宏观资产。但是哑铃策略成立的前提条件是：一是在宏观总量分子端下行阶段，金融条件是要相对宽松的。且海外金融条件的放松，能同时外溢过</w:t>
      </w:r>
      <w:r>
        <w:rPr>
          <w:rFonts w:ascii="仿宋" w:eastAsia="仿宋" w:hAnsi="仿宋" w:hint="eastAsia"/>
          <w:sz w:val="24"/>
          <w:szCs w:val="24"/>
        </w:rPr>
        <w:t>来。二是弱宏观资产的分子端需要有独立与经济周期的景气度，即高景气对抗弱宏观。实际上，下半年的成长股（半导体、电子、医药）上涨更多是因为短期的库存周期，而非技术周期和产能周期的景气度（只有这两者才能真正对抗整个宏观经济的疲弱，才会带来估值的扩张）。显然这两个前提条件都未能满足。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）边际原因。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月初以来市场资金快速卖出过度拥挤的成长行业和小市值，造成冲击，叠加外资因海外金融条件变化的重新流出，形成了市场大小共振下跌。</w:t>
      </w:r>
    </w:p>
    <w:p w14:paraId="32A3E03F" w14:textId="77777777" w:rsidR="000629FB" w:rsidRDefault="003020C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流动性风险怎么结束？针对上述原因：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）宏观原因：国内金融紧缩条件已经在实质性改善，这是重要的前</w:t>
      </w:r>
      <w:r>
        <w:rPr>
          <w:rFonts w:ascii="仿宋" w:eastAsia="仿宋" w:hAnsi="仿宋" w:hint="eastAsia"/>
          <w:sz w:val="24"/>
          <w:szCs w:val="24"/>
        </w:rPr>
        <w:t>提。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）行业原因：成长类资产出现明显的波动降低和缩量盘整。量化交易对于过度暴露因子的重新修正。这需要一些时间。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）护住沪深</w:t>
      </w:r>
      <w:r>
        <w:rPr>
          <w:rFonts w:ascii="仿宋" w:eastAsia="仿宋" w:hAnsi="仿宋" w:hint="eastAsia"/>
          <w:sz w:val="24"/>
          <w:szCs w:val="24"/>
        </w:rPr>
        <w:t>300</w:t>
      </w:r>
      <w:r>
        <w:rPr>
          <w:rFonts w:ascii="仿宋" w:eastAsia="仿宋" w:hAnsi="仿宋" w:hint="eastAsia"/>
          <w:sz w:val="24"/>
          <w:szCs w:val="24"/>
        </w:rPr>
        <w:t>指数，同时在其他股指期货合约上做多。</w:t>
      </w: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）加快平准基金入市。</w:t>
      </w:r>
    </w:p>
    <w:p w14:paraId="53DE9F69" w14:textId="160D0054" w:rsidR="000629FB" w:rsidRDefault="003020C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飘风不终朝，骤雨不终日。在经过市场的阶段性出清之后，</w:t>
      </w:r>
      <w:bookmarkStart w:id="2" w:name="_GoBack"/>
      <w:bookmarkEnd w:id="2"/>
      <w:r>
        <w:rPr>
          <w:rFonts w:ascii="仿宋" w:eastAsia="仿宋" w:hAnsi="仿宋" w:hint="eastAsia"/>
          <w:sz w:val="24"/>
          <w:szCs w:val="24"/>
        </w:rPr>
        <w:t>在中国经济高质量发展的鼓舞下，我们有理由相信</w:t>
      </w:r>
      <w:r>
        <w:rPr>
          <w:rFonts w:ascii="仿宋" w:eastAsia="仿宋" w:hAnsi="仿宋" w:hint="eastAsia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股很快将迎来向上的时刻。</w:t>
      </w:r>
    </w:p>
    <w:p w14:paraId="1E9666C6" w14:textId="77777777" w:rsidR="000629FB" w:rsidRDefault="003020C5">
      <w:pPr>
        <w:spacing w:line="360" w:lineRule="auto"/>
        <w:ind w:firstLineChars="200" w:firstLine="482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（三）</w:t>
      </w:r>
      <w:r>
        <w:rPr>
          <w:rFonts w:ascii="楷体" w:eastAsia="楷体" w:hAnsi="楷体"/>
          <w:b/>
          <w:bCs/>
          <w:sz w:val="24"/>
          <w:szCs w:val="24"/>
        </w:rPr>
        <w:t>债券市场展望和策略</w:t>
      </w:r>
    </w:p>
    <w:p w14:paraId="0AF1756D" w14:textId="77777777" w:rsidR="000629FB" w:rsidRDefault="003020C5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宽货币预期持续发酵，叠加权益市场表现不佳、股债跷跷板效应下，上周长债收益率大幅下行。周中公布的</w:t>
      </w:r>
      <w:r>
        <w:rPr>
          <w:rFonts w:ascii="仿宋" w:eastAsia="仿宋" w:hAnsi="仿宋" w:hint="eastAsia"/>
          <w:bCs/>
          <w:sz w:val="24"/>
          <w:szCs w:val="24"/>
        </w:rPr>
        <w:t>PMI</w:t>
      </w:r>
      <w:r>
        <w:rPr>
          <w:rFonts w:ascii="仿宋" w:eastAsia="仿宋" w:hAnsi="仿宋" w:hint="eastAsia"/>
          <w:bCs/>
          <w:sz w:val="24"/>
          <w:szCs w:val="24"/>
        </w:rPr>
        <w:t>数据边际有所改善，但仍位于荣枯线以下，显示宏观经济压</w:t>
      </w:r>
      <w:r>
        <w:rPr>
          <w:rFonts w:ascii="仿宋" w:eastAsia="仿宋" w:hAnsi="仿宋" w:hint="eastAsia"/>
          <w:bCs/>
          <w:sz w:val="24"/>
          <w:szCs w:val="24"/>
        </w:rPr>
        <w:t>力仍存，基本面短期难以显著改善，市场对地产政策的反应也趋于钝化，债市面临的调整风险较小。流动性层面，央行在月初逐步净回笼</w:t>
      </w:r>
      <w:r>
        <w:rPr>
          <w:rFonts w:ascii="仿宋" w:eastAsia="仿宋" w:hAnsi="仿宋" w:hint="eastAsia"/>
          <w:bCs/>
          <w:sz w:val="24"/>
          <w:szCs w:val="24"/>
        </w:rPr>
        <w:t>OMO</w:t>
      </w:r>
      <w:r>
        <w:rPr>
          <w:rFonts w:ascii="仿宋" w:eastAsia="仿宋" w:hAnsi="仿宋" w:hint="eastAsia"/>
          <w:bCs/>
          <w:sz w:val="24"/>
          <w:szCs w:val="24"/>
        </w:rPr>
        <w:t>，资金面边际有所收敛。本月</w:t>
      </w:r>
      <w:r>
        <w:rPr>
          <w:rFonts w:ascii="仿宋" w:eastAsia="仿宋" w:hAnsi="仿宋" w:hint="eastAsia"/>
          <w:bCs/>
          <w:sz w:val="24"/>
          <w:szCs w:val="24"/>
        </w:rPr>
        <w:t>5</w:t>
      </w:r>
      <w:r>
        <w:rPr>
          <w:rFonts w:ascii="仿宋" w:eastAsia="仿宋" w:hAnsi="仿宋" w:hint="eastAsia"/>
          <w:bCs/>
          <w:sz w:val="24"/>
          <w:szCs w:val="24"/>
        </w:rPr>
        <w:t>日，约</w:t>
      </w:r>
      <w:r>
        <w:rPr>
          <w:rFonts w:ascii="仿宋" w:eastAsia="仿宋" w:hAnsi="仿宋" w:hint="eastAsia"/>
          <w:bCs/>
          <w:sz w:val="24"/>
          <w:szCs w:val="24"/>
        </w:rPr>
        <w:t>1</w:t>
      </w:r>
      <w:r>
        <w:rPr>
          <w:rFonts w:ascii="仿宋" w:eastAsia="仿宋" w:hAnsi="仿宋" w:hint="eastAsia"/>
          <w:bCs/>
          <w:sz w:val="24"/>
          <w:szCs w:val="24"/>
        </w:rPr>
        <w:t>万亿的降准资金落地，同时随着春节长假的临近，央行大概率仍将适时呵护市场流动性，充分满足假期的现金需求，预计市场资金面将保持平稳。数据方面，通胀和金融数据可能于春节前发布，但对于债市的预期不会产生太大的影响。展望后市，预计短期内债券市场将维持震荡偏强的走势。建议利率债账户保持中性久期和仓位，关注长债活跃券的交易机会。信用债方面，鉴于当前期限利差进一步</w:t>
      </w:r>
      <w:r>
        <w:rPr>
          <w:rFonts w:ascii="仿宋" w:eastAsia="仿宋" w:hAnsi="仿宋" w:hint="eastAsia"/>
          <w:bCs/>
          <w:sz w:val="24"/>
          <w:szCs w:val="24"/>
        </w:rPr>
        <w:t>平坦化，建议关注短期性价比更高的票息资产。</w:t>
      </w:r>
    </w:p>
    <w:p w14:paraId="04164F24" w14:textId="77777777" w:rsidR="00420CF8" w:rsidRDefault="00420CF8" w:rsidP="00420CF8">
      <w:pPr>
        <w:spacing w:line="360" w:lineRule="auto"/>
        <w:ind w:firstLineChars="200" w:firstLine="420"/>
      </w:pPr>
    </w:p>
    <w:p w14:paraId="3E70D8AF" w14:textId="71B69245" w:rsidR="00420CF8" w:rsidRPr="00D107FD" w:rsidRDefault="00420CF8" w:rsidP="00420CF8">
      <w:pPr>
        <w:spacing w:line="360" w:lineRule="auto"/>
        <w:ind w:firstLineChars="200" w:firstLine="420"/>
        <w:rPr>
          <w:rFonts w:ascii="仿宋" w:eastAsia="仿宋" w:hAnsi="仿宋"/>
          <w:b/>
          <w:sz w:val="24"/>
          <w:szCs w:val="24"/>
        </w:rPr>
      </w:pPr>
      <w:r>
        <w:t>风险提示：本报告中的信息均来源于已公开的资料，我公司对这些信息的准确性及完整</w:t>
      </w:r>
      <w:r>
        <w:t xml:space="preserve"> </w:t>
      </w:r>
      <w:r>
        <w:t>性不作任何保证。</w:t>
      </w:r>
      <w:r>
        <w:t xml:space="preserve"> </w:t>
      </w:r>
      <w:r>
        <w:t>在任何情况下，报告中的信息或所表达的意见并不构成证券买卖的出价或询价。在任何</w:t>
      </w:r>
      <w:r>
        <w:t xml:space="preserve"> </w:t>
      </w:r>
      <w:r>
        <w:t>情况下，我公司不就报告中的任何投资做出任何形式的担保。本报告内容和意见不构成投资</w:t>
      </w:r>
      <w:r>
        <w:t xml:space="preserve"> </w:t>
      </w:r>
      <w:r>
        <w:t>建议，仅供参考，使用前务请核实，风险自负。</w:t>
      </w:r>
      <w:r>
        <w:t xml:space="preserve"> </w:t>
      </w:r>
      <w:r>
        <w:t>本报告版权归</w:t>
      </w:r>
      <w:proofErr w:type="gramStart"/>
      <w:r>
        <w:t>鑫元基金</w:t>
      </w:r>
      <w:proofErr w:type="gramEnd"/>
      <w:r>
        <w:t>管理有限公司所有，未获得</w:t>
      </w:r>
      <w:proofErr w:type="gramStart"/>
      <w:r>
        <w:t>鑫元基金</w:t>
      </w:r>
      <w:proofErr w:type="gramEnd"/>
      <w:r>
        <w:t>管理有限公司事先书面授权，</w:t>
      </w:r>
      <w:r>
        <w:t xml:space="preserve"> </w:t>
      </w:r>
      <w:r>
        <w:t>任何人不得对本报告进行任何形式的发布、复制。</w:t>
      </w:r>
    </w:p>
    <w:p w14:paraId="721B91C0" w14:textId="77777777" w:rsidR="00420CF8" w:rsidRPr="00420CF8" w:rsidRDefault="00420CF8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</w:p>
    <w:sectPr w:rsidR="00420CF8" w:rsidRPr="00420CF8">
      <w:headerReference w:type="default" r:id="rId24"/>
      <w:footerReference w:type="default" r:id="rId25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539D4" w14:textId="77777777" w:rsidR="003020C5" w:rsidRDefault="003020C5">
      <w:r>
        <w:separator/>
      </w:r>
    </w:p>
  </w:endnote>
  <w:endnote w:type="continuationSeparator" w:id="0">
    <w:p w14:paraId="3B0DE763" w14:textId="77777777" w:rsidR="003020C5" w:rsidRDefault="0030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6F857" w14:textId="77777777" w:rsidR="000629FB" w:rsidRDefault="003020C5">
    <w:pPr>
      <w:pStyle w:val="a5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>PAGE   \* MERGEFORMAT</w:instrText>
    </w:r>
    <w:r>
      <w:rPr>
        <w:rFonts w:ascii="宋体" w:hAnsi="宋体"/>
      </w:rPr>
      <w:fldChar w:fldCharType="separate"/>
    </w:r>
    <w:r w:rsidR="005614E7" w:rsidRPr="005614E7">
      <w:rPr>
        <w:rFonts w:ascii="宋体" w:hAnsi="宋体"/>
        <w:noProof/>
        <w:lang w:val="zh-CN"/>
      </w:rPr>
      <w:t>12</w:t>
    </w:r>
    <w:r>
      <w:rPr>
        <w:rFonts w:ascii="宋体" w:hAnsi="宋体"/>
      </w:rPr>
      <w:fldChar w:fldCharType="end"/>
    </w:r>
  </w:p>
  <w:p w14:paraId="0271E50C" w14:textId="77777777" w:rsidR="000629FB" w:rsidRDefault="000629FB">
    <w:pPr>
      <w:pStyle w:val="a5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067C9" w14:textId="77777777" w:rsidR="003020C5" w:rsidRDefault="003020C5">
      <w:r>
        <w:separator/>
      </w:r>
    </w:p>
  </w:footnote>
  <w:footnote w:type="continuationSeparator" w:id="0">
    <w:p w14:paraId="031DE3D5" w14:textId="77777777" w:rsidR="003020C5" w:rsidRDefault="00302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CECBD" w14:textId="77777777" w:rsidR="000629FB" w:rsidRDefault="000629F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91F73"/>
    <w:multiLevelType w:val="hybridMultilevel"/>
    <w:tmpl w:val="E14A8BFA"/>
    <w:lvl w:ilvl="0" w:tplc="ACEECDC6">
      <w:start w:val="1"/>
      <w:numFmt w:val="japaneseCounting"/>
      <w:lvlText w:val="（%1）"/>
      <w:lvlJc w:val="left"/>
      <w:pPr>
        <w:ind w:left="1238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FB"/>
    <w:rsid w:val="000629FB"/>
    <w:rsid w:val="000945DD"/>
    <w:rsid w:val="003020C5"/>
    <w:rsid w:val="00420CF8"/>
    <w:rsid w:val="005614E7"/>
    <w:rsid w:val="005E4BF4"/>
    <w:rsid w:val="0090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6461BD"/>
  <w15:docId w15:val="{EC2ADF8F-8464-49B9-AAAE-A2A04452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rPr>
      <w:b/>
      <w:bCs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table" w:customStyle="1" w:styleId="4-21">
    <w:name w:val="网格表 4 - 着色 21"/>
    <w:basedOn w:val="a1"/>
    <w:uiPriority w:val="49"/>
    <w:qFormat/>
    <w:tblPr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51">
    <w:name w:val="无格式表格 51"/>
    <w:basedOn w:val="a1"/>
    <w:uiPriority w:val="45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清单表 7 彩色 - 着色 21"/>
    <w:basedOn w:val="a1"/>
    <w:uiPriority w:val="52"/>
    <w:rPr>
      <w:color w:val="C4591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-21">
    <w:name w:val="网格表 3 - 着色 21"/>
    <w:basedOn w:val="a1"/>
    <w:uiPriority w:val="48"/>
    <w:qFormat/>
    <w:tblPr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paragraph" w:styleId="aa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qFormat/>
    <w:rPr>
      <w:b/>
      <w:bCs/>
    </w:rPr>
  </w:style>
  <w:style w:type="paragraph" w:customStyle="1" w:styleId="10">
    <w:name w:val="修订1"/>
    <w:uiPriority w:val="99"/>
    <w:qFormat/>
    <w:rPr>
      <w:kern w:val="2"/>
      <w:sz w:val="21"/>
      <w:szCs w:val="22"/>
    </w:rPr>
  </w:style>
  <w:style w:type="table" w:customStyle="1" w:styleId="2-21">
    <w:name w:val="网格表 2 - 着色 21"/>
    <w:basedOn w:val="a1"/>
    <w:uiPriority w:val="47"/>
    <w:rPr>
      <w:kern w:val="2"/>
      <w:sz w:val="21"/>
      <w:szCs w:val="22"/>
    </w:rPr>
    <w:tblPr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2-22">
    <w:name w:val="网格表 2 - 着色 22"/>
    <w:basedOn w:val="a1"/>
    <w:uiPriority w:val="47"/>
    <w:tblPr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2-221">
    <w:name w:val="网格表 2 - 着色 221"/>
    <w:basedOn w:val="a1"/>
    <w:uiPriority w:val="47"/>
    <w:rPr>
      <w:kern w:val="2"/>
      <w:sz w:val="21"/>
      <w:szCs w:val="22"/>
    </w:rPr>
    <w:tblPr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11">
    <w:name w:val="网格型1"/>
    <w:basedOn w:val="a1"/>
    <w:uiPriority w:val="3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uiPriority w:val="99"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graphtitle">
    <w:name w:val="graph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news.fx678.com/column/ecb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28F5-FF9B-413E-829E-6FAEBA81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15</Pages>
  <Words>1286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刘珊</cp:lastModifiedBy>
  <cp:revision>18</cp:revision>
  <cp:lastPrinted>2023-02-26T11:50:00Z</cp:lastPrinted>
  <dcterms:created xsi:type="dcterms:W3CDTF">2023-12-30T14:15:00Z</dcterms:created>
  <dcterms:modified xsi:type="dcterms:W3CDTF">2024-02-05T02:21:00Z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2b5a301770ec42cfb1cda1d23912b8f1_23</vt:lpwstr>
  </property>
  <property fmtid="{D5CDD505-2E9C-101B-9397-08002B2CF9AE}" pid="4" name="BD_Revisions_Count">
    <vt:lpwstr>0</vt:lpwstr>
  </property>
  <property fmtid="{D5CDD505-2E9C-101B-9397-08002B2CF9AE}" pid="5" name="BD_IsTrackRevisions">
    <vt:lpwstr>0</vt:lpwstr>
  </property>
  <property fmtid="{D5CDD505-2E9C-101B-9397-08002B2CF9AE}" pid="6" name="BD_Word_FileSize">
    <vt:lpwstr>639387</vt:lpwstr>
  </property>
  <property fmtid="{D5CDD505-2E9C-101B-9397-08002B2CF9AE}" pid="7" name="BD_Report_Pages">
    <vt:lpwstr>14</vt:lpwstr>
  </property>
  <property fmtid="{D5CDD505-2E9C-101B-9397-08002B2CF9AE}" pid="8" name="BD_Report_Characters">
    <vt:lpwstr>6917</vt:lpwstr>
  </property>
  <property fmtid="{D5CDD505-2E9C-101B-9397-08002B2CF9AE}" pid="9" name="BD_CompareCompanyModel">
    <vt:lpwstr/>
  </property>
  <property fmtid="{D5CDD505-2E9C-101B-9397-08002B2CF9AE}" pid="10" name="BD_WORD_Version">
    <vt:lpwstr>16.0.16227.20258</vt:lpwstr>
  </property>
  <property fmtid="{D5CDD505-2E9C-101B-9397-08002B2CF9AE}" pid="11" name="BD_Word_Protection_Status">
    <vt:lpwstr>0</vt:lpwstr>
  </property>
  <property fmtid="{D5CDD505-2E9C-101B-9397-08002B2CF9AE}" pid="12" name="BD_Word_Remind_Lock">
    <vt:lpwstr>0</vt:lpwstr>
  </property>
  <property fmtid="{D5CDD505-2E9C-101B-9397-08002B2CF9AE}" pid="13" name="BD_Document_Page_Count">
    <vt:lpwstr>15</vt:lpwstr>
  </property>
  <property fmtid="{D5CDD505-2E9C-101B-9397-08002B2CF9AE}" pid="14" name="ZX_Claim_Page_Number">
    <vt:lpwstr>15</vt:lpwstr>
  </property>
</Properties>
</file>