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03C93" w14:textId="77777777" w:rsidR="000629FB" w:rsidRDefault="00C41D5E">
      <w:pPr>
        <w:spacing w:line="360" w:lineRule="auto"/>
        <w:ind w:firstLineChars="200" w:firstLine="560"/>
        <w:rPr>
          <w:rFonts w:ascii="黑体" w:eastAsia="黑体" w:hAnsi="黑体"/>
          <w:sz w:val="28"/>
          <w:szCs w:val="28"/>
        </w:rPr>
      </w:pPr>
      <w:r>
        <w:rPr>
          <w:rFonts w:ascii="黑体" w:eastAsia="黑体" w:hAnsi="黑体"/>
          <w:noProof/>
          <w:sz w:val="28"/>
          <w:szCs w:val="28"/>
        </w:rPr>
        <w:drawing>
          <wp:anchor distT="0" distB="0" distL="0" distR="0" simplePos="0" relativeHeight="2" behindDoc="1" locked="0" layoutInCell="1" allowOverlap="1" wp14:anchorId="6C32929D" wp14:editId="6B2F7DD4">
            <wp:simplePos x="0" y="0"/>
            <wp:positionH relativeFrom="page">
              <wp:align>left</wp:align>
            </wp:positionH>
            <wp:positionV relativeFrom="paragraph">
              <wp:posOffset>-912495</wp:posOffset>
            </wp:positionV>
            <wp:extent cx="7530465" cy="2476500"/>
            <wp:effectExtent l="0" t="0" r="0" b="0"/>
            <wp:wrapNone/>
            <wp:docPr id="102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6"/>
                    <pic:cNvPicPr/>
                  </pic:nvPicPr>
                  <pic:blipFill>
                    <a:blip r:embed="rId8" cstate="print"/>
                    <a:srcRect/>
                    <a:stretch/>
                  </pic:blipFill>
                  <pic:spPr>
                    <a:xfrm>
                      <a:off x="0" y="0"/>
                      <a:ext cx="7530465" cy="2476500"/>
                    </a:xfrm>
                    <a:prstGeom prst="rect">
                      <a:avLst/>
                    </a:prstGeom>
                    <a:ln>
                      <a:noFill/>
                    </a:ln>
                  </pic:spPr>
                </pic:pic>
              </a:graphicData>
            </a:graphic>
          </wp:anchor>
        </w:drawing>
      </w:r>
    </w:p>
    <w:p w14:paraId="5C1A2018" w14:textId="77777777" w:rsidR="00F97779" w:rsidRDefault="00F97779" w:rsidP="00F97779">
      <w:pPr>
        <w:spacing w:line="360" w:lineRule="auto"/>
        <w:ind w:right="1280" w:firstLineChars="500" w:firstLine="1600"/>
        <w:rPr>
          <w:rFonts w:ascii="黑体" w:eastAsia="黑体" w:hAnsi="黑体" w:cs="黑体"/>
          <w:bCs/>
          <w:color w:val="000000"/>
          <w:sz w:val="32"/>
          <w:szCs w:val="32"/>
        </w:rPr>
      </w:pPr>
      <w:r w:rsidRPr="00F97779">
        <w:rPr>
          <w:rFonts w:ascii="黑体" w:eastAsia="黑体" w:hAnsi="黑体" w:cs="黑体" w:hint="eastAsia"/>
          <w:bCs/>
          <w:color w:val="000000"/>
          <w:sz w:val="32"/>
          <w:szCs w:val="32"/>
        </w:rPr>
        <w:t>证监会召开支持上市公司并购重组座谈会</w:t>
      </w:r>
    </w:p>
    <w:p w14:paraId="29011890" w14:textId="714E16FA" w:rsidR="000629FB" w:rsidRDefault="00C41D5E">
      <w:pPr>
        <w:spacing w:line="360" w:lineRule="auto"/>
        <w:ind w:firstLineChars="200" w:firstLine="560"/>
        <w:jc w:val="right"/>
        <w:rPr>
          <w:rFonts w:ascii="黑体" w:eastAsia="黑体" w:hAnsi="黑体"/>
          <w:sz w:val="28"/>
          <w:szCs w:val="28"/>
        </w:rPr>
      </w:pPr>
      <w:r>
        <w:rPr>
          <w:rFonts w:ascii="楷体" w:eastAsia="楷体" w:hAnsi="楷体" w:hint="eastAsia"/>
          <w:sz w:val="28"/>
          <w:szCs w:val="28"/>
        </w:rPr>
        <w:t>——</w:t>
      </w:r>
      <w:r w:rsidR="00520E2D">
        <w:rPr>
          <w:rFonts w:ascii="楷体" w:eastAsia="楷体" w:hAnsi="楷体" w:hint="eastAsia"/>
          <w:sz w:val="28"/>
          <w:szCs w:val="28"/>
        </w:rPr>
        <w:t>证监会发布（2</w:t>
      </w:r>
      <w:r w:rsidR="00520E2D">
        <w:rPr>
          <w:rFonts w:ascii="楷体" w:eastAsia="楷体" w:hAnsi="楷体"/>
          <w:sz w:val="28"/>
          <w:szCs w:val="28"/>
        </w:rPr>
        <w:t>024.02.06）</w:t>
      </w:r>
    </w:p>
    <w:p w14:paraId="2A180C27" w14:textId="77777777" w:rsidR="000629FB" w:rsidRDefault="000629FB">
      <w:pPr>
        <w:spacing w:line="360" w:lineRule="auto"/>
        <w:ind w:firstLineChars="200" w:firstLine="560"/>
        <w:rPr>
          <w:rFonts w:ascii="黑体" w:eastAsia="黑体" w:hAnsi="黑体"/>
          <w:sz w:val="28"/>
          <w:szCs w:val="28"/>
        </w:rPr>
      </w:pPr>
    </w:p>
    <w:p w14:paraId="2D9BBD92" w14:textId="0C994D25" w:rsidR="00F97779" w:rsidRPr="00F97779" w:rsidRDefault="00F97779" w:rsidP="004F58B6">
      <w:pPr>
        <w:spacing w:line="360" w:lineRule="auto"/>
        <w:ind w:firstLine="420"/>
        <w:rPr>
          <w:rFonts w:ascii="Microsoft YaHei UI" w:eastAsia="Microsoft YaHei UI" w:hAnsi="Microsoft YaHei UI" w:hint="eastAsia"/>
          <w:spacing w:val="15"/>
          <w:kern w:val="0"/>
          <w:sz w:val="23"/>
          <w:szCs w:val="23"/>
        </w:rPr>
      </w:pPr>
      <w:r w:rsidRPr="00F97779">
        <w:rPr>
          <w:rFonts w:ascii="Microsoft YaHei UI" w:eastAsia="Microsoft YaHei UI" w:hAnsi="Microsoft YaHei UI" w:hint="eastAsia"/>
          <w:spacing w:val="15"/>
          <w:kern w:val="0"/>
          <w:sz w:val="23"/>
          <w:szCs w:val="23"/>
        </w:rPr>
        <w:t>2月5日，证监会上市</w:t>
      </w:r>
      <w:proofErr w:type="gramStart"/>
      <w:r w:rsidRPr="00F97779">
        <w:rPr>
          <w:rFonts w:ascii="Microsoft YaHei UI" w:eastAsia="Microsoft YaHei UI" w:hAnsi="Microsoft YaHei UI" w:hint="eastAsia"/>
          <w:spacing w:val="15"/>
          <w:kern w:val="0"/>
          <w:sz w:val="23"/>
          <w:szCs w:val="23"/>
        </w:rPr>
        <w:t>司召开</w:t>
      </w:r>
      <w:proofErr w:type="gramEnd"/>
      <w:r w:rsidRPr="00F97779">
        <w:rPr>
          <w:rFonts w:ascii="Microsoft YaHei UI" w:eastAsia="Microsoft YaHei UI" w:hAnsi="Microsoft YaHei UI" w:hint="eastAsia"/>
          <w:spacing w:val="15"/>
          <w:kern w:val="0"/>
          <w:sz w:val="23"/>
          <w:szCs w:val="23"/>
        </w:rPr>
        <w:t>座谈会，就进一步优化并购重组监管机制、大力支持上市公司通过并购重组提升投资价值征求部分上市公司和证券公司意见建议，并就市场关切的热点问题进行交流讨论。</w:t>
      </w:r>
    </w:p>
    <w:p w14:paraId="67644C82" w14:textId="70314374" w:rsidR="00F97779" w:rsidRPr="00F97779" w:rsidRDefault="00F97779" w:rsidP="004F58B6">
      <w:pPr>
        <w:spacing w:line="360" w:lineRule="auto"/>
        <w:ind w:firstLine="420"/>
        <w:rPr>
          <w:rFonts w:ascii="Microsoft YaHei UI" w:eastAsia="Microsoft YaHei UI" w:hAnsi="Microsoft YaHei UI" w:hint="eastAsia"/>
          <w:spacing w:val="15"/>
          <w:kern w:val="0"/>
          <w:sz w:val="23"/>
          <w:szCs w:val="23"/>
        </w:rPr>
      </w:pPr>
      <w:r w:rsidRPr="00F97779">
        <w:rPr>
          <w:rFonts w:ascii="Microsoft YaHei UI" w:eastAsia="Microsoft YaHei UI" w:hAnsi="Microsoft YaHei UI" w:hint="eastAsia"/>
          <w:spacing w:val="15"/>
          <w:kern w:val="0"/>
          <w:sz w:val="23"/>
          <w:szCs w:val="23"/>
        </w:rPr>
        <w:t>会议认为，上市公司质量是资本市场最重要的基本面。上市公司质量高，资本市场才能稳定运行，投资者才能获得实实在在的回报，中小投资者的投资意愿才会更强。我国经济正处于实现高质量发展的关键时期，上市公司要切实用好并购重组工具，抓住机遇注入优质资产、出清低效产能，实施兼并整合，通过自身的高质量发展提升投资价值，增强投资者获得感。</w:t>
      </w:r>
    </w:p>
    <w:p w14:paraId="33D721DA" w14:textId="116C2A6B" w:rsidR="00F97779" w:rsidRPr="00F97779" w:rsidRDefault="00F97779" w:rsidP="004F58B6">
      <w:pPr>
        <w:spacing w:line="360" w:lineRule="auto"/>
        <w:ind w:firstLine="420"/>
        <w:rPr>
          <w:rFonts w:ascii="Microsoft YaHei UI" w:eastAsia="Microsoft YaHei UI" w:hAnsi="Microsoft YaHei UI" w:hint="eastAsia"/>
          <w:spacing w:val="15"/>
          <w:kern w:val="0"/>
          <w:sz w:val="23"/>
          <w:szCs w:val="23"/>
        </w:rPr>
      </w:pPr>
      <w:r w:rsidRPr="00F97779">
        <w:rPr>
          <w:rFonts w:ascii="Microsoft YaHei UI" w:eastAsia="Microsoft YaHei UI" w:hAnsi="Microsoft YaHei UI" w:hint="eastAsia"/>
          <w:spacing w:val="15"/>
          <w:kern w:val="0"/>
          <w:sz w:val="23"/>
          <w:szCs w:val="23"/>
        </w:rPr>
        <w:t>证监会上市司表示，近年来证监会持续推动并购重组市场化改革，激发市场活力，取消部分行政许可事项，优化重组上市监管要求，推出重组“小额快速”审核机制。特别是去年以来，在“两创”板块试点基础上全面实行重组注册制，延长发股类重组财务资料有效期，出台定向可转债重组规则，进一步优化重组政策环境。总体看，并购重组市场化改革取得了积极成效，产业并购渐成市场主流，一大批上市公司通过并购重组实现提质增效、</w:t>
      </w:r>
      <w:proofErr w:type="gramStart"/>
      <w:r w:rsidRPr="00F97779">
        <w:rPr>
          <w:rFonts w:ascii="Microsoft YaHei UI" w:eastAsia="Microsoft YaHei UI" w:hAnsi="Microsoft YaHei UI" w:hint="eastAsia"/>
          <w:spacing w:val="15"/>
          <w:kern w:val="0"/>
          <w:sz w:val="23"/>
          <w:szCs w:val="23"/>
        </w:rPr>
        <w:t>做优做</w:t>
      </w:r>
      <w:proofErr w:type="gramEnd"/>
      <w:r w:rsidRPr="00F97779">
        <w:rPr>
          <w:rFonts w:ascii="Microsoft YaHei UI" w:eastAsia="Microsoft YaHei UI" w:hAnsi="Microsoft YaHei UI" w:hint="eastAsia"/>
          <w:spacing w:val="15"/>
          <w:kern w:val="0"/>
          <w:sz w:val="23"/>
          <w:szCs w:val="23"/>
        </w:rPr>
        <w:t>强。</w:t>
      </w:r>
    </w:p>
    <w:p w14:paraId="5F3A7F8F" w14:textId="77777777" w:rsidR="00F97779" w:rsidRPr="00F97779" w:rsidRDefault="00F97779" w:rsidP="00F97779">
      <w:pPr>
        <w:spacing w:line="360" w:lineRule="auto"/>
        <w:ind w:firstLine="420"/>
        <w:rPr>
          <w:rFonts w:ascii="Microsoft YaHei UI" w:eastAsia="Microsoft YaHei UI" w:hAnsi="Microsoft YaHei UI" w:hint="eastAsia"/>
          <w:spacing w:val="15"/>
          <w:kern w:val="0"/>
          <w:sz w:val="23"/>
          <w:szCs w:val="23"/>
        </w:rPr>
      </w:pPr>
      <w:r w:rsidRPr="00F97779">
        <w:rPr>
          <w:rFonts w:ascii="Microsoft YaHei UI" w:eastAsia="Microsoft YaHei UI" w:hAnsi="Microsoft YaHei UI" w:hint="eastAsia"/>
          <w:spacing w:val="15"/>
          <w:kern w:val="0"/>
          <w:sz w:val="23"/>
          <w:szCs w:val="23"/>
        </w:rPr>
        <w:t>证监会上市司表示，下一步将科学统筹促发展与强监管、防风险的关系，多</w:t>
      </w:r>
      <w:proofErr w:type="gramStart"/>
      <w:r w:rsidRPr="00F97779">
        <w:rPr>
          <w:rFonts w:ascii="Microsoft YaHei UI" w:eastAsia="Microsoft YaHei UI" w:hAnsi="Microsoft YaHei UI" w:hint="eastAsia"/>
          <w:spacing w:val="15"/>
          <w:kern w:val="0"/>
          <w:sz w:val="23"/>
          <w:szCs w:val="23"/>
        </w:rPr>
        <w:t>措</w:t>
      </w:r>
      <w:proofErr w:type="gramEnd"/>
      <w:r w:rsidRPr="00F97779">
        <w:rPr>
          <w:rFonts w:ascii="Microsoft YaHei UI" w:eastAsia="Microsoft YaHei UI" w:hAnsi="Microsoft YaHei UI" w:hint="eastAsia"/>
          <w:spacing w:val="15"/>
          <w:kern w:val="0"/>
          <w:sz w:val="23"/>
          <w:szCs w:val="23"/>
        </w:rPr>
        <w:t>并举活跃并购重组市场，支持优秀典型案例落地见效。一是提高对重组估值的包容性，支持交易双方在市场化协商的基础上合理确定交易作价。二是坚持分类监管，对采用基于未来收益预期等评估方法的大股东注资型重组要求设置业绩承诺，其他类型重组的交易双方可自主协</w:t>
      </w:r>
      <w:r w:rsidRPr="00F97779">
        <w:rPr>
          <w:rFonts w:ascii="Microsoft YaHei UI" w:eastAsia="Microsoft YaHei UI" w:hAnsi="Microsoft YaHei UI" w:hint="eastAsia"/>
          <w:spacing w:val="15"/>
          <w:kern w:val="0"/>
          <w:sz w:val="23"/>
          <w:szCs w:val="23"/>
        </w:rPr>
        <w:lastRenderedPageBreak/>
        <w:t>商是否约定业绩承诺。三是研究对头部大市值公司重组实施“快速审核”，支持行业龙头企业高效并购优质资产。进一步优化重组“小额快速”审核机制。四是支持“两创”公司并购处于同行业或上下游、与主营业务具有协同效应的优质标的，增强上市公司“硬科技”“三创四新”属性。五是支持上市公司（包括非同</w:t>
      </w:r>
      <w:proofErr w:type="gramStart"/>
      <w:r w:rsidRPr="00F97779">
        <w:rPr>
          <w:rFonts w:ascii="Microsoft YaHei UI" w:eastAsia="Microsoft YaHei UI" w:hAnsi="Microsoft YaHei UI" w:hint="eastAsia"/>
          <w:spacing w:val="15"/>
          <w:kern w:val="0"/>
          <w:sz w:val="23"/>
          <w:szCs w:val="23"/>
        </w:rPr>
        <w:t>一控制</w:t>
      </w:r>
      <w:proofErr w:type="gramEnd"/>
      <w:r w:rsidRPr="00F97779">
        <w:rPr>
          <w:rFonts w:ascii="Microsoft YaHei UI" w:eastAsia="Microsoft YaHei UI" w:hAnsi="Microsoft YaHei UI" w:hint="eastAsia"/>
          <w:spacing w:val="15"/>
          <w:kern w:val="0"/>
          <w:sz w:val="23"/>
          <w:szCs w:val="23"/>
        </w:rPr>
        <w:t>下的上市公司）之间的吸收合并，进一步拓宽多元化退出渠道。同时，继续坚持以投资者为本的理念，加强监管、防范风险，坚决查处重组交易中的财务造假等违法行为，打击“壳公司”炒作等乱象。</w:t>
      </w:r>
    </w:p>
    <w:p w14:paraId="69CA3471" w14:textId="4768A48C" w:rsidR="008E22C5" w:rsidRDefault="00F97779" w:rsidP="004F58B6">
      <w:pPr>
        <w:spacing w:line="360" w:lineRule="auto"/>
        <w:ind w:firstLine="420"/>
        <w:rPr>
          <w:b/>
          <w:bCs/>
          <w:spacing w:val="15"/>
          <w:kern w:val="0"/>
          <w:sz w:val="23"/>
          <w:szCs w:val="23"/>
        </w:rPr>
      </w:pPr>
      <w:bookmarkStart w:id="0" w:name="_GoBack"/>
      <w:bookmarkEnd w:id="0"/>
      <w:r w:rsidRPr="00F97779">
        <w:rPr>
          <w:rFonts w:ascii="Microsoft YaHei UI" w:eastAsia="Microsoft YaHei UI" w:hAnsi="Microsoft YaHei UI" w:hint="eastAsia"/>
          <w:spacing w:val="15"/>
          <w:kern w:val="0"/>
          <w:sz w:val="23"/>
          <w:szCs w:val="23"/>
        </w:rPr>
        <w:t>参会上市公司表示，将结合企业自身情况，用好并购重组工具，积极提高上市公司资产质量，增强回报投资者的能力。参会证券公司表示，将努力提升专业服务水平，积极发挥交易撮合者的功能，深入挖掘市场需求，切实把好“入口关”，助力提高上市公司可投性。</w:t>
      </w:r>
    </w:p>
    <w:p w14:paraId="147D7716" w14:textId="77777777" w:rsidR="00F97779" w:rsidRDefault="00F97779" w:rsidP="00CF03CA">
      <w:pPr>
        <w:spacing w:line="360" w:lineRule="auto"/>
        <w:rPr>
          <w:b/>
          <w:bCs/>
          <w:spacing w:val="15"/>
          <w:kern w:val="0"/>
          <w:sz w:val="23"/>
          <w:szCs w:val="23"/>
        </w:rPr>
      </w:pPr>
    </w:p>
    <w:p w14:paraId="2C4E53DF" w14:textId="77777777" w:rsidR="00F97779" w:rsidRDefault="00F97779" w:rsidP="00CF03CA">
      <w:pPr>
        <w:spacing w:line="360" w:lineRule="auto"/>
        <w:rPr>
          <w:b/>
          <w:bCs/>
          <w:spacing w:val="15"/>
          <w:kern w:val="0"/>
          <w:sz w:val="23"/>
          <w:szCs w:val="23"/>
        </w:rPr>
      </w:pPr>
    </w:p>
    <w:p w14:paraId="71626926" w14:textId="6839BC87" w:rsidR="00CF03CA" w:rsidRPr="00CF03CA" w:rsidRDefault="00CF03CA" w:rsidP="00CF03CA">
      <w:pPr>
        <w:spacing w:line="360" w:lineRule="auto"/>
        <w:rPr>
          <w:rFonts w:ascii="Microsoft YaHei UI" w:eastAsia="Microsoft YaHei UI" w:hAnsi="Microsoft YaHei UI"/>
          <w:spacing w:val="15"/>
          <w:kern w:val="0"/>
          <w:sz w:val="23"/>
          <w:szCs w:val="23"/>
        </w:rPr>
      </w:pPr>
      <w:r w:rsidRPr="00CF03CA">
        <w:rPr>
          <w:rFonts w:hint="eastAsia"/>
          <w:b/>
          <w:bCs/>
          <w:spacing w:val="15"/>
          <w:kern w:val="0"/>
          <w:sz w:val="23"/>
          <w:szCs w:val="23"/>
        </w:rPr>
        <w:t>内容来源：证监会发布</w:t>
      </w:r>
    </w:p>
    <w:sectPr w:rsidR="00CF03CA" w:rsidRPr="00CF03CA">
      <w:headerReference w:type="default" r:id="rId9"/>
      <w:footerReference w:type="default" r:id="rId10"/>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7CB85" w14:textId="77777777" w:rsidR="00C26BF1" w:rsidRDefault="00C26BF1">
      <w:r>
        <w:separator/>
      </w:r>
    </w:p>
  </w:endnote>
  <w:endnote w:type="continuationSeparator" w:id="0">
    <w:p w14:paraId="0983BD34" w14:textId="77777777" w:rsidR="00C26BF1" w:rsidRDefault="00C2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F857" w14:textId="77777777" w:rsidR="000629FB" w:rsidRDefault="00C41D5E">
    <w:pPr>
      <w:pStyle w:val="a5"/>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4F58B6" w:rsidRPr="004F58B6">
      <w:rPr>
        <w:rFonts w:ascii="宋体" w:hAnsi="宋体"/>
        <w:noProof/>
        <w:lang w:val="zh-CN"/>
      </w:rPr>
      <w:t>2</w:t>
    </w:r>
    <w:r>
      <w:rPr>
        <w:rFonts w:ascii="宋体" w:hAnsi="宋体"/>
      </w:rPr>
      <w:fldChar w:fldCharType="end"/>
    </w:r>
  </w:p>
  <w:p w14:paraId="0271E50C" w14:textId="77777777" w:rsidR="000629FB" w:rsidRDefault="000629FB">
    <w:pPr>
      <w:pStyle w:val="a5"/>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289D2" w14:textId="77777777" w:rsidR="00C26BF1" w:rsidRDefault="00C26BF1">
      <w:r>
        <w:separator/>
      </w:r>
    </w:p>
  </w:footnote>
  <w:footnote w:type="continuationSeparator" w:id="0">
    <w:p w14:paraId="417991BA" w14:textId="77777777" w:rsidR="00C26BF1" w:rsidRDefault="00C26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CECBD" w14:textId="77777777" w:rsidR="000629FB" w:rsidRDefault="000629F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9C1EF5"/>
    <w:multiLevelType w:val="hybridMultilevel"/>
    <w:tmpl w:val="E14A8BFA"/>
    <w:lvl w:ilvl="0" w:tplc="ACEECDC6">
      <w:start w:val="1"/>
      <w:numFmt w:val="japaneseCounting"/>
      <w:lvlText w:val="（%1）"/>
      <w:lvlJc w:val="left"/>
      <w:pPr>
        <w:ind w:left="1238" w:hanging="756"/>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FB"/>
    <w:rsid w:val="000629FB"/>
    <w:rsid w:val="000945DD"/>
    <w:rsid w:val="00420CF8"/>
    <w:rsid w:val="004B3A0A"/>
    <w:rsid w:val="004F58B6"/>
    <w:rsid w:val="00520E2D"/>
    <w:rsid w:val="005E4BF4"/>
    <w:rsid w:val="008E22C5"/>
    <w:rsid w:val="00903FB1"/>
    <w:rsid w:val="00987DB2"/>
    <w:rsid w:val="0099610E"/>
    <w:rsid w:val="00C26BF1"/>
    <w:rsid w:val="00C41D5E"/>
    <w:rsid w:val="00CF03CA"/>
    <w:rsid w:val="00F9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461BD"/>
  <w15:docId w15:val="{EC2ADF8F-8464-49B9-AAAE-A2A04452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rPr>
      <w:b/>
      <w:bCs/>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4-21">
    <w:name w:val="网格表 4 - 着色 21"/>
    <w:basedOn w:val="a1"/>
    <w:uiPriority w:val="49"/>
    <w:qFormat/>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51">
    <w:name w:val="无格式表格 51"/>
    <w:basedOn w:val="a1"/>
    <w:uiPriority w:val="45"/>
    <w:qFormat/>
    <w:tblPr>
      <w:tblInd w:w="0" w:type="dxa"/>
      <w:tblCellMar>
        <w:top w:w="0" w:type="dxa"/>
        <w:left w:w="108" w:type="dxa"/>
        <w:bottom w:w="0" w:type="dxa"/>
        <w:right w:w="108" w:type="dxa"/>
      </w:tblCellMar>
    </w:tblPr>
    <w:tblStylePr w:type="firstRow">
      <w:rPr>
        <w:rFonts w:ascii="Calibri Light" w:eastAsia="宋体" w:hAnsi="Calibri Light" w:cs="宋体"/>
        <w:i/>
        <w:iCs/>
        <w:sz w:val="26"/>
      </w:rPr>
      <w:tblPr/>
      <w:tcPr>
        <w:tcBorders>
          <w:bottom w:val="single" w:sz="4" w:space="0" w:color="7F7F7F"/>
        </w:tcBorders>
        <w:shd w:val="clear" w:color="auto" w:fill="FFFFFF"/>
      </w:tcPr>
    </w:tblStylePr>
    <w:tblStylePr w:type="lastRow">
      <w:rPr>
        <w:rFonts w:ascii="Calibri Light" w:eastAsia="宋体" w:hAnsi="Calibri Light" w:cs="宋体"/>
        <w:i/>
        <w:iCs/>
        <w:sz w:val="26"/>
      </w:rPr>
      <w:tblPr/>
      <w:tcPr>
        <w:tcBorders>
          <w:top w:val="single" w:sz="4" w:space="0" w:color="7F7F7F"/>
        </w:tcBorders>
        <w:shd w:val="clear" w:color="auto" w:fill="FFFFFF"/>
      </w:tcPr>
    </w:tblStylePr>
    <w:tblStylePr w:type="firstCol">
      <w:pPr>
        <w:jc w:val="right"/>
      </w:pPr>
      <w:rPr>
        <w:rFonts w:ascii="Calibri Light" w:eastAsia="宋体" w:hAnsi="Calibri Light" w:cs="宋体"/>
        <w:i/>
        <w:iCs/>
        <w:sz w:val="26"/>
      </w:rPr>
      <w:tblPr/>
      <w:tcPr>
        <w:tcBorders>
          <w:right w:val="single" w:sz="4" w:space="0" w:color="7F7F7F"/>
        </w:tcBorders>
        <w:shd w:val="clear" w:color="auto" w:fill="FFFFFF"/>
      </w:tcPr>
    </w:tblStylePr>
    <w:tblStylePr w:type="lastCol">
      <w:rPr>
        <w:rFonts w:ascii="Calibri Light" w:eastAsia="宋体" w:hAnsi="Calibri Light" w:cs="宋体"/>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1"/>
    <w:uiPriority w:val="52"/>
    <w:rPr>
      <w:color w:val="C45911"/>
    </w:rPr>
    <w:tblPr>
      <w:tblInd w:w="0" w:type="dxa"/>
      <w:tblCellMar>
        <w:top w:w="0" w:type="dxa"/>
        <w:left w:w="108" w:type="dxa"/>
        <w:bottom w:w="0" w:type="dxa"/>
        <w:right w:w="108" w:type="dxa"/>
      </w:tblCellMar>
    </w:tblPr>
    <w:tblStylePr w:type="firstRow">
      <w:rPr>
        <w:rFonts w:ascii="Calibri Light" w:eastAsia="宋体" w:hAnsi="Calibri Light" w:cs="宋体"/>
        <w:i/>
        <w:iCs/>
        <w:sz w:val="26"/>
      </w:rPr>
      <w:tblPr/>
      <w:tcPr>
        <w:tcBorders>
          <w:bottom w:val="single" w:sz="4" w:space="0" w:color="ED7D31"/>
        </w:tcBorders>
        <w:shd w:val="clear" w:color="auto" w:fill="FFFFFF"/>
      </w:tcPr>
    </w:tblStylePr>
    <w:tblStylePr w:type="lastRow">
      <w:rPr>
        <w:rFonts w:ascii="Calibri Light" w:eastAsia="宋体" w:hAnsi="Calibri Light" w:cs="宋体"/>
        <w:i/>
        <w:iCs/>
        <w:sz w:val="26"/>
      </w:rPr>
      <w:tblPr/>
      <w:tcPr>
        <w:tcBorders>
          <w:top w:val="single" w:sz="4" w:space="0" w:color="ED7D31"/>
        </w:tcBorders>
        <w:shd w:val="clear" w:color="auto" w:fill="FFFFFF"/>
      </w:tcPr>
    </w:tblStylePr>
    <w:tblStylePr w:type="firstCol">
      <w:pPr>
        <w:jc w:val="right"/>
      </w:pPr>
      <w:rPr>
        <w:rFonts w:ascii="Calibri Light" w:eastAsia="宋体" w:hAnsi="Calibri Light" w:cs="宋体"/>
        <w:i/>
        <w:iCs/>
        <w:sz w:val="26"/>
      </w:rPr>
      <w:tblPr/>
      <w:tcPr>
        <w:tcBorders>
          <w:right w:val="single" w:sz="4" w:space="0" w:color="ED7D31"/>
        </w:tcBorders>
        <w:shd w:val="clear" w:color="auto" w:fill="FFFFFF"/>
      </w:tcPr>
    </w:tblStylePr>
    <w:tblStylePr w:type="lastCol">
      <w:rPr>
        <w:rFonts w:ascii="Calibri Light" w:eastAsia="宋体" w:hAnsi="Calibri Light" w:cs="宋体"/>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1">
    <w:name w:val="网格表 3 - 着色 21"/>
    <w:basedOn w:val="a1"/>
    <w:uiPriority w:val="48"/>
    <w:qFormat/>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paragraph" w:styleId="aa">
    <w:name w:val="List Paragraph"/>
    <w:basedOn w:val="a"/>
    <w:uiPriority w:val="34"/>
    <w:qFormat/>
    <w:pPr>
      <w:widowControl/>
      <w:ind w:firstLineChars="200" w:firstLine="420"/>
      <w:jc w:val="left"/>
    </w:pPr>
    <w:rPr>
      <w:rFonts w:ascii="宋体" w:hAnsi="宋体"/>
      <w:kern w:val="0"/>
      <w:sz w:val="24"/>
      <w:szCs w:val="24"/>
    </w:rPr>
  </w:style>
  <w:style w:type="character" w:customStyle="1" w:styleId="Char0">
    <w:name w:val="批注框文本 Char"/>
    <w:basedOn w:val="a0"/>
    <w:link w:val="a4"/>
    <w:uiPriority w:val="99"/>
    <w:qFormat/>
    <w:rPr>
      <w:sz w:val="18"/>
      <w:szCs w:val="18"/>
    </w:rPr>
  </w:style>
  <w:style w:type="character" w:customStyle="1" w:styleId="Char">
    <w:name w:val="批注文字 Char"/>
    <w:basedOn w:val="a0"/>
    <w:link w:val="a3"/>
    <w:uiPriority w:val="99"/>
    <w:qFormat/>
  </w:style>
  <w:style w:type="character" w:customStyle="1" w:styleId="Char3">
    <w:name w:val="批注主题 Char"/>
    <w:basedOn w:val="Char"/>
    <w:link w:val="a7"/>
    <w:uiPriority w:val="99"/>
    <w:qFormat/>
    <w:rPr>
      <w:b/>
      <w:bCs/>
    </w:rPr>
  </w:style>
  <w:style w:type="paragraph" w:customStyle="1" w:styleId="10">
    <w:name w:val="修订1"/>
    <w:uiPriority w:val="99"/>
    <w:qFormat/>
    <w:rPr>
      <w:kern w:val="2"/>
      <w:sz w:val="21"/>
      <w:szCs w:val="22"/>
    </w:rPr>
  </w:style>
  <w:style w:type="table" w:customStyle="1" w:styleId="2-21">
    <w:name w:val="网格表 2 - 着色 21"/>
    <w:basedOn w:val="a1"/>
    <w:uiPriority w:val="47"/>
    <w:rPr>
      <w:kern w:val="2"/>
      <w:sz w:val="21"/>
      <w:szCs w:val="22"/>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22">
    <w:name w:val="网格表 2 - 着色 22"/>
    <w:basedOn w:val="a1"/>
    <w:uiPriority w:val="47"/>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221">
    <w:name w:val="网格表 2 - 着色 221"/>
    <w:basedOn w:val="a1"/>
    <w:uiPriority w:val="47"/>
    <w:rPr>
      <w:kern w:val="2"/>
      <w:sz w:val="21"/>
      <w:szCs w:val="22"/>
    </w:rPr>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1">
    <w:name w:val="网格型1"/>
    <w:basedOn w:val="a1"/>
    <w:uiPriority w:val="3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uiPriority w:val="99"/>
    <w:rPr>
      <w:kern w:val="2"/>
      <w:sz w:val="21"/>
      <w:szCs w:val="22"/>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graphtitle">
    <w:name w:val="graphtitle"/>
    <w:basedOn w:val="a0"/>
  </w:style>
  <w:style w:type="paragraph" w:styleId="ac">
    <w:name w:val="Normal (Web)"/>
    <w:basedOn w:val="a"/>
    <w:uiPriority w:val="99"/>
    <w:semiHidden/>
    <w:unhideWhenUsed/>
    <w:rsid w:val="00CF03CA"/>
    <w:pPr>
      <w:widowControl/>
      <w:spacing w:before="100" w:beforeAutospacing="1" w:after="100" w:afterAutospacing="1"/>
      <w:jc w:val="left"/>
    </w:pPr>
    <w:rPr>
      <w:rFonts w:ascii="宋体" w:hAnsi="宋体"/>
      <w:kern w:val="0"/>
      <w:sz w:val="24"/>
      <w:szCs w:val="24"/>
    </w:rPr>
  </w:style>
  <w:style w:type="character" w:styleId="ad">
    <w:name w:val="Strong"/>
    <w:basedOn w:val="a0"/>
    <w:uiPriority w:val="22"/>
    <w:qFormat/>
    <w:rsid w:val="00CF0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9416">
      <w:bodyDiv w:val="1"/>
      <w:marLeft w:val="0"/>
      <w:marRight w:val="0"/>
      <w:marTop w:val="0"/>
      <w:marBottom w:val="0"/>
      <w:divBdr>
        <w:top w:val="none" w:sz="0" w:space="0" w:color="auto"/>
        <w:left w:val="none" w:sz="0" w:space="0" w:color="auto"/>
        <w:bottom w:val="none" w:sz="0" w:space="0" w:color="auto"/>
        <w:right w:val="none" w:sz="0" w:space="0" w:color="auto"/>
      </w:divBdr>
    </w:div>
    <w:div w:id="1208103014">
      <w:bodyDiv w:val="1"/>
      <w:marLeft w:val="0"/>
      <w:marRight w:val="0"/>
      <w:marTop w:val="0"/>
      <w:marBottom w:val="0"/>
      <w:divBdr>
        <w:top w:val="none" w:sz="0" w:space="0" w:color="auto"/>
        <w:left w:val="none" w:sz="0" w:space="0" w:color="auto"/>
        <w:bottom w:val="none" w:sz="0" w:space="0" w:color="auto"/>
        <w:right w:val="none" w:sz="0" w:space="0" w:color="auto"/>
      </w:divBdr>
    </w:div>
    <w:div w:id="1248032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704AC-6FD9-4F76-B5BA-F270B20D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刘珊</cp:lastModifiedBy>
  <cp:revision>6</cp:revision>
  <cp:lastPrinted>2023-02-26T11:50:00Z</cp:lastPrinted>
  <dcterms:created xsi:type="dcterms:W3CDTF">2024-02-06T15:07:00Z</dcterms:created>
  <dcterms:modified xsi:type="dcterms:W3CDTF">2024-02-06T15:10:00Z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2b5a301770ec42cfb1cda1d23912b8f1_23</vt:lpwstr>
  </property>
  <property fmtid="{D5CDD505-2E9C-101B-9397-08002B2CF9AE}" pid="4" name="BD_Revisions_Count">
    <vt:lpwstr>0</vt:lpwstr>
  </property>
  <property fmtid="{D5CDD505-2E9C-101B-9397-08002B2CF9AE}" pid="5" name="BD_IsTrackRevisions">
    <vt:lpwstr>0</vt:lpwstr>
  </property>
  <property fmtid="{D5CDD505-2E9C-101B-9397-08002B2CF9AE}" pid="6" name="BD_Word_FileSize">
    <vt:lpwstr>639387</vt:lpwstr>
  </property>
  <property fmtid="{D5CDD505-2E9C-101B-9397-08002B2CF9AE}" pid="7" name="BD_Report_Pages">
    <vt:lpwstr>14</vt:lpwstr>
  </property>
  <property fmtid="{D5CDD505-2E9C-101B-9397-08002B2CF9AE}" pid="8" name="BD_Report_Characters">
    <vt:lpwstr>6917</vt:lpwstr>
  </property>
  <property fmtid="{D5CDD505-2E9C-101B-9397-08002B2CF9AE}" pid="9" name="BD_CompareCompanyModel">
    <vt:lpwstr/>
  </property>
  <property fmtid="{D5CDD505-2E9C-101B-9397-08002B2CF9AE}" pid="10" name="BD_WORD_Version">
    <vt:lpwstr>16.0.16227.20258</vt:lpwstr>
  </property>
  <property fmtid="{D5CDD505-2E9C-101B-9397-08002B2CF9AE}" pid="11" name="BD_Word_Protection_Status">
    <vt:lpwstr>0</vt:lpwstr>
  </property>
  <property fmtid="{D5CDD505-2E9C-101B-9397-08002B2CF9AE}" pid="12" name="BD_Word_Remind_Lock">
    <vt:lpwstr>0</vt:lpwstr>
  </property>
  <property fmtid="{D5CDD505-2E9C-101B-9397-08002B2CF9AE}" pid="13" name="BD_Document_Page_Count">
    <vt:lpwstr>15</vt:lpwstr>
  </property>
  <property fmtid="{D5CDD505-2E9C-101B-9397-08002B2CF9AE}" pid="14" name="ZX_Claim_Page_Number">
    <vt:lpwstr>15</vt:lpwstr>
  </property>
</Properties>
</file>