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03C93" w14:textId="77777777" w:rsidR="000629FB" w:rsidRDefault="00C41D5E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drawing>
          <wp:anchor distT="0" distB="0" distL="0" distR="0" simplePos="0" relativeHeight="2" behindDoc="1" locked="0" layoutInCell="1" allowOverlap="1" wp14:anchorId="6C32929D" wp14:editId="6B2F7DD4">
            <wp:simplePos x="0" y="0"/>
            <wp:positionH relativeFrom="page">
              <wp:align>left</wp:align>
            </wp:positionH>
            <wp:positionV relativeFrom="paragraph">
              <wp:posOffset>-912495</wp:posOffset>
            </wp:positionV>
            <wp:extent cx="7530465" cy="2476500"/>
            <wp:effectExtent l="0" t="0" r="0" b="0"/>
            <wp:wrapNone/>
            <wp:docPr id="102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7530465" cy="2476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895C60" w14:textId="77777777" w:rsidR="008E22C5" w:rsidRDefault="008E22C5" w:rsidP="008E22C5">
      <w:pPr>
        <w:spacing w:line="360" w:lineRule="auto"/>
        <w:ind w:right="960" w:firstLineChars="200" w:firstLine="640"/>
        <w:jc w:val="right"/>
        <w:rPr>
          <w:rFonts w:ascii="黑体" w:eastAsia="黑体" w:hAnsi="黑体" w:cs="黑体"/>
          <w:bCs/>
          <w:color w:val="000000"/>
          <w:sz w:val="32"/>
          <w:szCs w:val="32"/>
        </w:rPr>
      </w:pPr>
      <w:bookmarkStart w:id="0" w:name="_GoBack"/>
      <w:bookmarkEnd w:id="0"/>
      <w:r w:rsidRPr="008E22C5">
        <w:rPr>
          <w:rFonts w:ascii="黑体" w:eastAsia="黑体" w:hAnsi="黑体" w:cs="黑体" w:hint="eastAsia"/>
          <w:bCs/>
          <w:color w:val="000000"/>
          <w:sz w:val="32"/>
          <w:szCs w:val="32"/>
        </w:rPr>
        <w:t>证监会新闻发言人就“两融”融券业务有关情况答记者问</w:t>
      </w:r>
    </w:p>
    <w:p w14:paraId="29011890" w14:textId="08A99E3A" w:rsidR="000629FB" w:rsidRDefault="00C41D5E">
      <w:pPr>
        <w:spacing w:line="360" w:lineRule="auto"/>
        <w:ind w:firstLineChars="200" w:firstLine="560"/>
        <w:jc w:val="right"/>
        <w:rPr>
          <w:rFonts w:ascii="黑体" w:eastAsia="黑体" w:hAnsi="黑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——</w:t>
      </w:r>
      <w:r w:rsidR="00520E2D">
        <w:rPr>
          <w:rFonts w:ascii="楷体" w:eastAsia="楷体" w:hAnsi="楷体" w:hint="eastAsia"/>
          <w:sz w:val="28"/>
          <w:szCs w:val="28"/>
        </w:rPr>
        <w:t>证监会发布（2</w:t>
      </w:r>
      <w:r w:rsidR="00520E2D">
        <w:rPr>
          <w:rFonts w:ascii="楷体" w:eastAsia="楷体" w:hAnsi="楷体"/>
          <w:sz w:val="28"/>
          <w:szCs w:val="28"/>
        </w:rPr>
        <w:t>024.02.06）</w:t>
      </w:r>
    </w:p>
    <w:p w14:paraId="2A180C27" w14:textId="77777777" w:rsidR="000629FB" w:rsidRDefault="000629FB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</w:p>
    <w:p w14:paraId="32D36BE9" w14:textId="2AA3D25E" w:rsidR="008E22C5" w:rsidRPr="008E22C5" w:rsidRDefault="008E22C5" w:rsidP="008E22C5">
      <w:pPr>
        <w:spacing w:line="360" w:lineRule="auto"/>
        <w:rPr>
          <w:rFonts w:ascii="Microsoft YaHei UI" w:eastAsia="Microsoft YaHei UI" w:hAnsi="Microsoft YaHei UI" w:hint="eastAsia"/>
          <w:spacing w:val="15"/>
          <w:kern w:val="0"/>
          <w:sz w:val="23"/>
          <w:szCs w:val="23"/>
        </w:rPr>
      </w:pPr>
      <w:r w:rsidRPr="008E22C5">
        <w:rPr>
          <w:rFonts w:ascii="Microsoft YaHei UI" w:eastAsia="Microsoft YaHei UI" w:hAnsi="Microsoft YaHei UI" w:hint="eastAsia"/>
          <w:spacing w:val="15"/>
          <w:kern w:val="0"/>
          <w:sz w:val="23"/>
          <w:szCs w:val="23"/>
        </w:rPr>
        <w:t>问：近期，证监会就进一步加强融券业务监管有哪些安排？</w:t>
      </w:r>
    </w:p>
    <w:p w14:paraId="73DF8DE7" w14:textId="77777777" w:rsidR="008E22C5" w:rsidRPr="008E22C5" w:rsidRDefault="008E22C5" w:rsidP="008E22C5">
      <w:pPr>
        <w:spacing w:line="360" w:lineRule="auto"/>
        <w:rPr>
          <w:rFonts w:ascii="Microsoft YaHei UI" w:eastAsia="Microsoft YaHei UI" w:hAnsi="Microsoft YaHei UI" w:hint="eastAsia"/>
          <w:spacing w:val="15"/>
          <w:kern w:val="0"/>
          <w:sz w:val="23"/>
          <w:szCs w:val="23"/>
        </w:rPr>
      </w:pPr>
      <w:r w:rsidRPr="008E22C5">
        <w:rPr>
          <w:rFonts w:ascii="Microsoft YaHei UI" w:eastAsia="Microsoft YaHei UI" w:hAnsi="Microsoft YaHei UI" w:hint="eastAsia"/>
          <w:spacing w:val="15"/>
          <w:kern w:val="0"/>
          <w:sz w:val="23"/>
          <w:szCs w:val="23"/>
        </w:rPr>
        <w:t>答：经研究决定，我会对融券业务提出三方面进一步加强监管的措施：一是暂停新增转融券规模，</w:t>
      </w:r>
      <w:proofErr w:type="gramStart"/>
      <w:r w:rsidRPr="008E22C5">
        <w:rPr>
          <w:rFonts w:ascii="Microsoft YaHei UI" w:eastAsia="Microsoft YaHei UI" w:hAnsi="Microsoft YaHei UI" w:hint="eastAsia"/>
          <w:spacing w:val="15"/>
          <w:kern w:val="0"/>
          <w:sz w:val="23"/>
          <w:szCs w:val="23"/>
        </w:rPr>
        <w:t>以现转融券</w:t>
      </w:r>
      <w:proofErr w:type="gramEnd"/>
      <w:r w:rsidRPr="008E22C5">
        <w:rPr>
          <w:rFonts w:ascii="Microsoft YaHei UI" w:eastAsia="Microsoft YaHei UI" w:hAnsi="Microsoft YaHei UI" w:hint="eastAsia"/>
          <w:spacing w:val="15"/>
          <w:kern w:val="0"/>
          <w:sz w:val="23"/>
          <w:szCs w:val="23"/>
        </w:rPr>
        <w:t>余额为上限，依法暂停新增证券公司转融券规模，存量逐步了结；二是要求证券公司加强对客户交易行为的管理，严禁向利用融券实施日内回转交易（变相T+0交易）的投资者提供融券；三是持续加大监管执法力度，我会将依法打击利用融券交易实施不当套利等违法违规行为，确保融券业务平稳运行。</w:t>
      </w:r>
    </w:p>
    <w:p w14:paraId="6253C2F6" w14:textId="77777777" w:rsidR="008E22C5" w:rsidRPr="008E22C5" w:rsidRDefault="008E22C5" w:rsidP="008E22C5">
      <w:pPr>
        <w:spacing w:line="360" w:lineRule="auto"/>
        <w:rPr>
          <w:rFonts w:ascii="Microsoft YaHei UI" w:eastAsia="Microsoft YaHei UI" w:hAnsi="Microsoft YaHei UI"/>
          <w:spacing w:val="15"/>
          <w:kern w:val="0"/>
          <w:sz w:val="23"/>
          <w:szCs w:val="23"/>
        </w:rPr>
      </w:pPr>
    </w:p>
    <w:p w14:paraId="721B91C0" w14:textId="426B54DF" w:rsidR="00420CF8" w:rsidRDefault="008E22C5" w:rsidP="008E22C5">
      <w:pPr>
        <w:spacing w:line="360" w:lineRule="auto"/>
      </w:pPr>
      <w:r w:rsidRPr="008E22C5">
        <w:rPr>
          <w:rFonts w:ascii="Microsoft YaHei UI" w:eastAsia="Microsoft YaHei UI" w:hAnsi="Microsoft YaHei UI" w:hint="eastAsia"/>
          <w:spacing w:val="15"/>
          <w:kern w:val="0"/>
          <w:sz w:val="23"/>
          <w:szCs w:val="23"/>
        </w:rPr>
        <w:t>近期，我会结合市场情况对融券业务采取了一系列加强监管的举措。相关制度实施以来，融券余额已下降24%，目前已降至637亿元，占A股流通市值的0.1%。</w:t>
      </w:r>
    </w:p>
    <w:p w14:paraId="69CA3471" w14:textId="77777777" w:rsidR="008E22C5" w:rsidRDefault="008E22C5" w:rsidP="00CF03CA">
      <w:pPr>
        <w:spacing w:line="360" w:lineRule="auto"/>
        <w:rPr>
          <w:b/>
          <w:bCs/>
          <w:spacing w:val="15"/>
          <w:kern w:val="0"/>
          <w:sz w:val="23"/>
          <w:szCs w:val="23"/>
        </w:rPr>
      </w:pPr>
    </w:p>
    <w:p w14:paraId="71626926" w14:textId="6839BC87" w:rsidR="00CF03CA" w:rsidRPr="00CF03CA" w:rsidRDefault="00CF03CA" w:rsidP="00CF03CA">
      <w:pPr>
        <w:spacing w:line="360" w:lineRule="auto"/>
        <w:rPr>
          <w:rFonts w:ascii="Microsoft YaHei UI" w:eastAsia="Microsoft YaHei UI" w:hAnsi="Microsoft YaHei UI"/>
          <w:spacing w:val="15"/>
          <w:kern w:val="0"/>
          <w:sz w:val="23"/>
          <w:szCs w:val="23"/>
        </w:rPr>
      </w:pPr>
      <w:r w:rsidRPr="00CF03CA">
        <w:rPr>
          <w:rFonts w:hint="eastAsia"/>
          <w:b/>
          <w:bCs/>
          <w:spacing w:val="15"/>
          <w:kern w:val="0"/>
          <w:sz w:val="23"/>
          <w:szCs w:val="23"/>
        </w:rPr>
        <w:t>内容来源：证监会发布</w:t>
      </w:r>
    </w:p>
    <w:sectPr w:rsidR="00CF03CA" w:rsidRPr="00CF03CA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AF8A3" w14:textId="77777777" w:rsidR="00987DB2" w:rsidRDefault="00987DB2">
      <w:r>
        <w:separator/>
      </w:r>
    </w:p>
  </w:endnote>
  <w:endnote w:type="continuationSeparator" w:id="0">
    <w:p w14:paraId="3E6E39CD" w14:textId="77777777" w:rsidR="00987DB2" w:rsidRDefault="0098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6F857" w14:textId="77777777" w:rsidR="000629FB" w:rsidRDefault="00C41D5E">
    <w:pPr>
      <w:pStyle w:val="a5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>PAGE   \* MERGEFORMAT</w:instrText>
    </w:r>
    <w:r>
      <w:rPr>
        <w:rFonts w:ascii="宋体" w:hAnsi="宋体"/>
      </w:rPr>
      <w:fldChar w:fldCharType="separate"/>
    </w:r>
    <w:r w:rsidR="008E22C5" w:rsidRPr="008E22C5">
      <w:rPr>
        <w:rFonts w:ascii="宋体" w:hAnsi="宋体"/>
        <w:noProof/>
        <w:lang w:val="zh-CN"/>
      </w:rPr>
      <w:t>1</w:t>
    </w:r>
    <w:r>
      <w:rPr>
        <w:rFonts w:ascii="宋体" w:hAnsi="宋体"/>
      </w:rPr>
      <w:fldChar w:fldCharType="end"/>
    </w:r>
  </w:p>
  <w:p w14:paraId="0271E50C" w14:textId="77777777" w:rsidR="000629FB" w:rsidRDefault="000629FB">
    <w:pPr>
      <w:pStyle w:val="a5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F5A87" w14:textId="77777777" w:rsidR="00987DB2" w:rsidRDefault="00987DB2">
      <w:r>
        <w:separator/>
      </w:r>
    </w:p>
  </w:footnote>
  <w:footnote w:type="continuationSeparator" w:id="0">
    <w:p w14:paraId="49AC6E2E" w14:textId="77777777" w:rsidR="00987DB2" w:rsidRDefault="00987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CECBD" w14:textId="77777777" w:rsidR="000629FB" w:rsidRDefault="000629F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9C1EF5"/>
    <w:multiLevelType w:val="hybridMultilevel"/>
    <w:tmpl w:val="E14A8BFA"/>
    <w:lvl w:ilvl="0" w:tplc="ACEECDC6">
      <w:start w:val="1"/>
      <w:numFmt w:val="japaneseCounting"/>
      <w:lvlText w:val="（%1）"/>
      <w:lvlJc w:val="left"/>
      <w:pPr>
        <w:ind w:left="1238" w:hanging="7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FB"/>
    <w:rsid w:val="000629FB"/>
    <w:rsid w:val="000945DD"/>
    <w:rsid w:val="00420CF8"/>
    <w:rsid w:val="004B3A0A"/>
    <w:rsid w:val="00520E2D"/>
    <w:rsid w:val="005E4BF4"/>
    <w:rsid w:val="008E22C5"/>
    <w:rsid w:val="00903FB1"/>
    <w:rsid w:val="00987DB2"/>
    <w:rsid w:val="0099610E"/>
    <w:rsid w:val="00C41D5E"/>
    <w:rsid w:val="00C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6461BD"/>
  <w15:docId w15:val="{EC2ADF8F-8464-49B9-AAAE-A2A04452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rPr>
      <w:b/>
      <w:bCs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table" w:customStyle="1" w:styleId="4-21">
    <w:name w:val="网格表 4 - 着色 21"/>
    <w:basedOn w:val="a1"/>
    <w:uiPriority w:val="49"/>
    <w:qFormat/>
    <w:tblPr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51">
    <w:name w:val="无格式表格 51"/>
    <w:basedOn w:val="a1"/>
    <w:uiPriority w:val="45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宋体" w:hAnsi="Calibri Light" w:cs="宋体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宋体" w:hAnsi="Calibri Light" w:cs="宋体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宋体" w:hAnsi="Calibri Light" w:cs="宋体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">
    <w:name w:val="清单表 7 彩色 - 着色 21"/>
    <w:basedOn w:val="a1"/>
    <w:uiPriority w:val="52"/>
    <w:rPr>
      <w:color w:val="C4591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宋体" w:hAnsi="Calibri Light" w:cs="宋体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宋体" w:hAnsi="Calibri Light" w:cs="宋体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宋体" w:hAnsi="Calibri Light" w:cs="宋体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-21">
    <w:name w:val="网格表 3 - 着色 21"/>
    <w:basedOn w:val="a1"/>
    <w:uiPriority w:val="48"/>
    <w:qFormat/>
    <w:tblPr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paragraph" w:styleId="aa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7"/>
    <w:uiPriority w:val="99"/>
    <w:qFormat/>
    <w:rPr>
      <w:b/>
      <w:bCs/>
    </w:rPr>
  </w:style>
  <w:style w:type="paragraph" w:customStyle="1" w:styleId="10">
    <w:name w:val="修订1"/>
    <w:uiPriority w:val="99"/>
    <w:qFormat/>
    <w:rPr>
      <w:kern w:val="2"/>
      <w:sz w:val="21"/>
      <w:szCs w:val="22"/>
    </w:rPr>
  </w:style>
  <w:style w:type="table" w:customStyle="1" w:styleId="2-21">
    <w:name w:val="网格表 2 - 着色 21"/>
    <w:basedOn w:val="a1"/>
    <w:uiPriority w:val="47"/>
    <w:rPr>
      <w:kern w:val="2"/>
      <w:sz w:val="21"/>
      <w:szCs w:val="22"/>
    </w:rPr>
    <w:tblPr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2-22">
    <w:name w:val="网格表 2 - 着色 22"/>
    <w:basedOn w:val="a1"/>
    <w:uiPriority w:val="47"/>
    <w:tblPr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2-221">
    <w:name w:val="网格表 2 - 着色 221"/>
    <w:basedOn w:val="a1"/>
    <w:uiPriority w:val="47"/>
    <w:rPr>
      <w:kern w:val="2"/>
      <w:sz w:val="21"/>
      <w:szCs w:val="22"/>
    </w:rPr>
    <w:tblPr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11">
    <w:name w:val="网格型1"/>
    <w:basedOn w:val="a1"/>
    <w:uiPriority w:val="3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uiPriority w:val="99"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graphtitle">
    <w:name w:val="graphtitle"/>
    <w:basedOn w:val="a0"/>
  </w:style>
  <w:style w:type="paragraph" w:styleId="ac">
    <w:name w:val="Normal (Web)"/>
    <w:basedOn w:val="a"/>
    <w:uiPriority w:val="99"/>
    <w:semiHidden/>
    <w:unhideWhenUsed/>
    <w:rsid w:val="00CF03C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CF0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8A6E9-426C-41EE-BE5A-D26C59D8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刘珊</cp:lastModifiedBy>
  <cp:revision>3</cp:revision>
  <cp:lastPrinted>2023-02-26T11:50:00Z</cp:lastPrinted>
  <dcterms:created xsi:type="dcterms:W3CDTF">2024-02-06T15:07:00Z</dcterms:created>
  <dcterms:modified xsi:type="dcterms:W3CDTF">2024-02-06T15:09:00Z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2b5a301770ec42cfb1cda1d23912b8f1_23</vt:lpwstr>
  </property>
  <property fmtid="{D5CDD505-2E9C-101B-9397-08002B2CF9AE}" pid="4" name="BD_Revisions_Count">
    <vt:lpwstr>0</vt:lpwstr>
  </property>
  <property fmtid="{D5CDD505-2E9C-101B-9397-08002B2CF9AE}" pid="5" name="BD_IsTrackRevisions">
    <vt:lpwstr>0</vt:lpwstr>
  </property>
  <property fmtid="{D5CDD505-2E9C-101B-9397-08002B2CF9AE}" pid="6" name="BD_Word_FileSize">
    <vt:lpwstr>639387</vt:lpwstr>
  </property>
  <property fmtid="{D5CDD505-2E9C-101B-9397-08002B2CF9AE}" pid="7" name="BD_Report_Pages">
    <vt:lpwstr>14</vt:lpwstr>
  </property>
  <property fmtid="{D5CDD505-2E9C-101B-9397-08002B2CF9AE}" pid="8" name="BD_Report_Characters">
    <vt:lpwstr>6917</vt:lpwstr>
  </property>
  <property fmtid="{D5CDD505-2E9C-101B-9397-08002B2CF9AE}" pid="9" name="BD_CompareCompanyModel">
    <vt:lpwstr/>
  </property>
  <property fmtid="{D5CDD505-2E9C-101B-9397-08002B2CF9AE}" pid="10" name="BD_WORD_Version">
    <vt:lpwstr>16.0.16227.20258</vt:lpwstr>
  </property>
  <property fmtid="{D5CDD505-2E9C-101B-9397-08002B2CF9AE}" pid="11" name="BD_Word_Protection_Status">
    <vt:lpwstr>0</vt:lpwstr>
  </property>
  <property fmtid="{D5CDD505-2E9C-101B-9397-08002B2CF9AE}" pid="12" name="BD_Word_Remind_Lock">
    <vt:lpwstr>0</vt:lpwstr>
  </property>
  <property fmtid="{D5CDD505-2E9C-101B-9397-08002B2CF9AE}" pid="13" name="BD_Document_Page_Count">
    <vt:lpwstr>15</vt:lpwstr>
  </property>
  <property fmtid="{D5CDD505-2E9C-101B-9397-08002B2CF9AE}" pid="14" name="ZX_Claim_Page_Number">
    <vt:lpwstr>15</vt:lpwstr>
  </property>
</Properties>
</file>