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12D8" w:rsidRDefault="004112D8" w:rsidP="004112D8">
      <w:pPr>
        <w:adjustRightInd w:val="0"/>
        <w:snapToGrid w:val="0"/>
        <w:spacing w:line="360" w:lineRule="auto"/>
        <w:jc w:val="center"/>
        <w:rPr>
          <w:rFonts w:ascii="宋体" w:hAnsi="宋体"/>
          <w:b/>
          <w:sz w:val="32"/>
          <w:szCs w:val="32"/>
        </w:rPr>
      </w:pPr>
      <w:r w:rsidRPr="00F879CF">
        <w:rPr>
          <w:rFonts w:ascii="宋体" w:hAnsi="宋体" w:hint="eastAsia"/>
          <w:b/>
          <w:sz w:val="32"/>
          <w:szCs w:val="32"/>
        </w:rPr>
        <w:t>告知函</w:t>
      </w:r>
    </w:p>
    <w:p w:rsidR="004112D8" w:rsidRPr="00F879CF" w:rsidRDefault="004112D8" w:rsidP="004112D8">
      <w:pPr>
        <w:adjustRightInd w:val="0"/>
        <w:snapToGrid w:val="0"/>
        <w:spacing w:line="360" w:lineRule="auto"/>
        <w:rPr>
          <w:rFonts w:ascii="宋体" w:hAnsi="宋体"/>
          <w:bCs/>
          <w:sz w:val="24"/>
          <w:szCs w:val="24"/>
        </w:rPr>
      </w:pPr>
      <w:r w:rsidRPr="00F879CF">
        <w:rPr>
          <w:rFonts w:ascii="宋体" w:hAnsi="宋体" w:hint="eastAsia"/>
          <w:bCs/>
          <w:sz w:val="24"/>
          <w:szCs w:val="24"/>
        </w:rPr>
        <w:t>尊敬的投资者</w:t>
      </w:r>
      <w:r w:rsidR="00571F88">
        <w:rPr>
          <w:rFonts w:ascii="宋体" w:hAnsi="宋体" w:hint="eastAsia"/>
          <w:bCs/>
          <w:sz w:val="24"/>
          <w:szCs w:val="24"/>
        </w:rPr>
        <w:t>并托管人</w:t>
      </w:r>
      <w:r w:rsidRPr="00F879CF">
        <w:rPr>
          <w:rFonts w:ascii="宋体" w:hAnsi="宋体" w:hint="eastAsia"/>
          <w:bCs/>
          <w:sz w:val="24"/>
          <w:szCs w:val="24"/>
        </w:rPr>
        <w:t>：</w:t>
      </w:r>
    </w:p>
    <w:p w:rsidR="004112D8" w:rsidRDefault="00C9340A" w:rsidP="004112D8">
      <w:pPr>
        <w:adjustRightInd w:val="0"/>
        <w:snapToGrid w:val="0"/>
        <w:spacing w:line="360" w:lineRule="auto"/>
        <w:rPr>
          <w:rFonts w:ascii="宋体" w:hAnsi="宋体"/>
          <w:bCs/>
          <w:sz w:val="24"/>
          <w:szCs w:val="24"/>
        </w:rPr>
      </w:pPr>
      <w:r w:rsidRPr="00F879CF">
        <w:rPr>
          <w:rFonts w:ascii="宋体" w:hAnsi="宋体"/>
          <w:bCs/>
          <w:sz w:val="24"/>
          <w:szCs w:val="24"/>
        </w:rPr>
        <w:t xml:space="preserve">    </w:t>
      </w:r>
      <w:r w:rsidRPr="00F879CF">
        <w:rPr>
          <w:rFonts w:ascii="宋体" w:hAnsi="宋体" w:hint="eastAsia"/>
          <w:bCs/>
          <w:sz w:val="24"/>
          <w:szCs w:val="24"/>
        </w:rPr>
        <w:t>根据财政部《资产管理产品相关会计处理规定》、基金业协会《关于固定收益品种的估值处理标准》等</w:t>
      </w:r>
      <w:r w:rsidRPr="00F879CF">
        <w:rPr>
          <w:rFonts w:ascii="宋体" w:hAnsi="宋体"/>
          <w:bCs/>
          <w:sz w:val="24"/>
          <w:szCs w:val="24"/>
        </w:rPr>
        <w:t>相关规定</w:t>
      </w:r>
      <w:r w:rsidRPr="00F879CF">
        <w:rPr>
          <w:rFonts w:ascii="宋体" w:hAnsi="宋体" w:hint="eastAsia"/>
          <w:bCs/>
          <w:sz w:val="24"/>
          <w:szCs w:val="24"/>
        </w:rPr>
        <w:t>的要求</w:t>
      </w:r>
      <w:r>
        <w:rPr>
          <w:rFonts w:ascii="宋体" w:hAnsi="宋体" w:hint="eastAsia"/>
          <w:bCs/>
          <w:sz w:val="24"/>
          <w:szCs w:val="24"/>
        </w:rPr>
        <w:t>，我司</w:t>
      </w:r>
      <w:r w:rsidR="00571F88">
        <w:rPr>
          <w:rFonts w:ascii="宋体" w:hAnsi="宋体" w:hint="eastAsia"/>
          <w:bCs/>
          <w:sz w:val="24"/>
          <w:szCs w:val="24"/>
        </w:rPr>
        <w:t>拟于</w:t>
      </w:r>
      <w:r w:rsidR="00A512C6">
        <w:rPr>
          <w:rFonts w:ascii="宋体" w:hAnsi="宋体" w:hint="eastAsia"/>
          <w:bCs/>
          <w:sz w:val="24"/>
          <w:szCs w:val="24"/>
        </w:rPr>
        <w:t>2023年3月</w:t>
      </w:r>
      <w:r w:rsidR="001238B6">
        <w:rPr>
          <w:rFonts w:ascii="宋体" w:hAnsi="宋体" w:hint="eastAsia"/>
          <w:bCs/>
          <w:sz w:val="24"/>
          <w:szCs w:val="24"/>
        </w:rPr>
        <w:t>3</w:t>
      </w:r>
      <w:r w:rsidR="00A512C6">
        <w:rPr>
          <w:rFonts w:ascii="宋体" w:hAnsi="宋体" w:hint="eastAsia"/>
          <w:bCs/>
          <w:sz w:val="24"/>
          <w:szCs w:val="24"/>
        </w:rPr>
        <w:t>1日</w:t>
      </w:r>
      <w:r w:rsidR="00571F88">
        <w:rPr>
          <w:rFonts w:ascii="宋体" w:hAnsi="宋体" w:hint="eastAsia"/>
          <w:bCs/>
          <w:sz w:val="24"/>
          <w:szCs w:val="24"/>
        </w:rPr>
        <w:t>对旗下产品</w:t>
      </w:r>
      <w:r w:rsidR="00781CF1">
        <w:rPr>
          <w:rFonts w:hAnsi="宋体" w:hint="eastAsia"/>
          <w:sz w:val="24"/>
          <w:szCs w:val="24"/>
        </w:rPr>
        <w:t>资产</w:t>
      </w:r>
      <w:r w:rsidR="00781CF1">
        <w:rPr>
          <w:rFonts w:hAnsi="宋体"/>
          <w:sz w:val="24"/>
          <w:szCs w:val="24"/>
        </w:rPr>
        <w:t>管理合同</w:t>
      </w:r>
      <w:r w:rsidR="00781CF1">
        <w:rPr>
          <w:rFonts w:hAnsi="宋体" w:hint="eastAsia"/>
          <w:sz w:val="24"/>
          <w:szCs w:val="24"/>
        </w:rPr>
        <w:t>及其</w:t>
      </w:r>
      <w:r w:rsidR="00781CF1">
        <w:rPr>
          <w:rFonts w:hAnsi="宋体"/>
          <w:sz w:val="24"/>
          <w:szCs w:val="24"/>
        </w:rPr>
        <w:t>补充协议</w:t>
      </w:r>
      <w:r w:rsidR="00781CF1">
        <w:rPr>
          <w:rFonts w:hAnsi="宋体" w:hint="eastAsia"/>
          <w:sz w:val="24"/>
          <w:szCs w:val="24"/>
        </w:rPr>
        <w:t>约定</w:t>
      </w:r>
      <w:r w:rsidR="001B3927">
        <w:rPr>
          <w:rFonts w:ascii="宋体" w:hAnsi="宋体"/>
          <w:bCs/>
          <w:sz w:val="24"/>
          <w:szCs w:val="24"/>
        </w:rPr>
        <w:t>的</w:t>
      </w:r>
      <w:r w:rsidR="00781CF1">
        <w:rPr>
          <w:rFonts w:ascii="宋体" w:hAnsi="宋体" w:hint="eastAsia"/>
          <w:bCs/>
          <w:sz w:val="24"/>
          <w:szCs w:val="24"/>
        </w:rPr>
        <w:t>相关</w:t>
      </w:r>
      <w:r>
        <w:rPr>
          <w:rFonts w:ascii="宋体" w:hAnsi="宋体" w:hint="eastAsia"/>
          <w:bCs/>
          <w:sz w:val="24"/>
          <w:szCs w:val="24"/>
        </w:rPr>
        <w:t>估值</w:t>
      </w:r>
      <w:r w:rsidR="00781CF1">
        <w:rPr>
          <w:rFonts w:ascii="宋体" w:hAnsi="宋体" w:hint="eastAsia"/>
          <w:bCs/>
          <w:sz w:val="24"/>
          <w:szCs w:val="24"/>
        </w:rPr>
        <w:t>条款</w:t>
      </w:r>
      <w:r w:rsidR="00571F88">
        <w:rPr>
          <w:rFonts w:ascii="宋体" w:hAnsi="宋体" w:hint="eastAsia"/>
          <w:bCs/>
          <w:sz w:val="24"/>
          <w:szCs w:val="24"/>
        </w:rPr>
        <w:t>进行</w:t>
      </w:r>
      <w:r>
        <w:rPr>
          <w:rFonts w:ascii="宋体" w:hAnsi="宋体" w:hint="eastAsia"/>
          <w:bCs/>
          <w:sz w:val="24"/>
          <w:szCs w:val="24"/>
        </w:rPr>
        <w:t>调整</w:t>
      </w:r>
      <w:r w:rsidR="00571F88">
        <w:rPr>
          <w:rFonts w:ascii="宋体" w:hAnsi="宋体" w:hint="eastAsia"/>
          <w:bCs/>
          <w:sz w:val="24"/>
          <w:szCs w:val="24"/>
        </w:rPr>
        <w:t>。调整</w:t>
      </w:r>
      <w:r w:rsidR="00C80AD5">
        <w:rPr>
          <w:rFonts w:ascii="宋体" w:hAnsi="宋体" w:hint="eastAsia"/>
          <w:bCs/>
          <w:sz w:val="24"/>
          <w:szCs w:val="24"/>
        </w:rPr>
        <w:t>之后的相关估值条款</w:t>
      </w:r>
      <w:r>
        <w:rPr>
          <w:rFonts w:ascii="宋体" w:hAnsi="宋体" w:hint="eastAsia"/>
          <w:bCs/>
          <w:sz w:val="24"/>
          <w:szCs w:val="24"/>
        </w:rPr>
        <w:t>如下：</w:t>
      </w:r>
    </w:p>
    <w:p w:rsidR="00C8315F" w:rsidRDefault="001B3927" w:rsidP="00D421E0">
      <w:pPr>
        <w:adjustRightInd w:val="0"/>
        <w:snapToGrid w:val="0"/>
        <w:spacing w:line="360" w:lineRule="auto"/>
        <w:ind w:firstLineChars="200" w:firstLine="480"/>
        <w:rPr>
          <w:rFonts w:ascii="宋体" w:hAnsi="宋体"/>
          <w:sz w:val="24"/>
          <w:szCs w:val="24"/>
        </w:rPr>
      </w:pPr>
      <w:r>
        <w:rPr>
          <w:rFonts w:ascii="宋体" w:hAnsi="宋体" w:hint="eastAsia"/>
          <w:sz w:val="24"/>
          <w:szCs w:val="24"/>
        </w:rPr>
        <w:t>1、</w:t>
      </w:r>
      <w:r w:rsidR="001A060B" w:rsidRPr="001A060B">
        <w:rPr>
          <w:rFonts w:ascii="宋体" w:hAnsi="宋体" w:hint="eastAsia"/>
          <w:sz w:val="24"/>
          <w:szCs w:val="24"/>
        </w:rPr>
        <w:t>对于已上市</w:t>
      </w:r>
      <w:r w:rsidR="001A060B">
        <w:rPr>
          <w:rFonts w:ascii="宋体" w:hAnsi="宋体" w:hint="eastAsia"/>
          <w:sz w:val="24"/>
          <w:szCs w:val="24"/>
        </w:rPr>
        <w:t>或已</w:t>
      </w:r>
      <w:r w:rsidR="007A221D" w:rsidRPr="00AA54BE">
        <w:rPr>
          <w:rFonts w:ascii="宋体" w:hAnsi="宋体"/>
          <w:sz w:val="24"/>
          <w:szCs w:val="24"/>
        </w:rPr>
        <w:t>挂牌转让的不含权固定收益品种（另有规定的除外），选取估值日第三方估值</w:t>
      </w:r>
      <w:r w:rsidR="00F87845">
        <w:rPr>
          <w:rFonts w:ascii="宋体" w:hAnsi="宋体" w:hint="eastAsia"/>
          <w:sz w:val="24"/>
          <w:szCs w:val="24"/>
        </w:rPr>
        <w:t>基准</w:t>
      </w:r>
      <w:r w:rsidR="00F87845">
        <w:rPr>
          <w:rFonts w:ascii="宋体" w:hAnsi="宋体"/>
          <w:sz w:val="24"/>
          <w:szCs w:val="24"/>
        </w:rPr>
        <w:t>服务</w:t>
      </w:r>
      <w:r w:rsidR="007A221D" w:rsidRPr="00AA54BE">
        <w:rPr>
          <w:rFonts w:ascii="宋体" w:hAnsi="宋体"/>
          <w:sz w:val="24"/>
          <w:szCs w:val="24"/>
        </w:rPr>
        <w:t>机构提供的相应品种当日的估值</w:t>
      </w:r>
      <w:r w:rsidR="007A221D">
        <w:rPr>
          <w:rFonts w:ascii="宋体" w:hAnsi="宋体" w:hint="eastAsia"/>
          <w:sz w:val="24"/>
          <w:szCs w:val="24"/>
        </w:rPr>
        <w:t>全价</w:t>
      </w:r>
      <w:r w:rsidR="007A221D" w:rsidRPr="00AA54BE">
        <w:rPr>
          <w:rFonts w:ascii="宋体" w:hAnsi="宋体"/>
          <w:sz w:val="24"/>
          <w:szCs w:val="24"/>
        </w:rPr>
        <w:t>进行估值；</w:t>
      </w:r>
    </w:p>
    <w:p w:rsidR="00C8315F" w:rsidRDefault="00974956" w:rsidP="00D421E0">
      <w:pPr>
        <w:adjustRightInd w:val="0"/>
        <w:snapToGrid w:val="0"/>
        <w:spacing w:line="360" w:lineRule="auto"/>
        <w:ind w:firstLineChars="200" w:firstLine="480"/>
        <w:rPr>
          <w:rFonts w:ascii="宋体" w:hAnsi="宋体"/>
          <w:sz w:val="24"/>
          <w:szCs w:val="24"/>
        </w:rPr>
      </w:pPr>
      <w:r>
        <w:rPr>
          <w:rFonts w:ascii="宋体" w:hAnsi="宋体" w:hint="eastAsia"/>
          <w:sz w:val="24"/>
          <w:szCs w:val="24"/>
        </w:rPr>
        <w:t>2、</w:t>
      </w:r>
      <w:r w:rsidR="001A060B" w:rsidRPr="001A060B">
        <w:rPr>
          <w:rFonts w:ascii="宋体" w:hAnsi="宋体" w:hint="eastAsia"/>
          <w:sz w:val="24"/>
          <w:szCs w:val="24"/>
        </w:rPr>
        <w:t>对于已上市</w:t>
      </w:r>
      <w:r w:rsidR="001A060B">
        <w:rPr>
          <w:rFonts w:ascii="宋体" w:hAnsi="宋体" w:hint="eastAsia"/>
          <w:sz w:val="24"/>
          <w:szCs w:val="24"/>
        </w:rPr>
        <w:t>或已</w:t>
      </w:r>
      <w:r w:rsidR="007A221D" w:rsidRPr="00AA54BE">
        <w:rPr>
          <w:rFonts w:ascii="宋体" w:hAnsi="宋体"/>
          <w:sz w:val="24"/>
          <w:szCs w:val="24"/>
        </w:rPr>
        <w:t>挂牌转让的含权固定收益品种（另有规定的除外），选取估值日第三方估值</w:t>
      </w:r>
      <w:r w:rsidR="00F87845">
        <w:rPr>
          <w:rFonts w:ascii="宋体" w:hAnsi="宋体" w:hint="eastAsia"/>
          <w:sz w:val="24"/>
          <w:szCs w:val="24"/>
        </w:rPr>
        <w:t>基准</w:t>
      </w:r>
      <w:r w:rsidR="00F87845">
        <w:rPr>
          <w:rFonts w:ascii="宋体" w:hAnsi="宋体"/>
          <w:sz w:val="24"/>
          <w:szCs w:val="24"/>
        </w:rPr>
        <w:t>服务</w:t>
      </w:r>
      <w:r w:rsidR="007A221D" w:rsidRPr="00AA54BE">
        <w:rPr>
          <w:rFonts w:ascii="宋体" w:hAnsi="宋体"/>
          <w:sz w:val="24"/>
          <w:szCs w:val="24"/>
        </w:rPr>
        <w:t>机构提供的相应品种当日的唯一估值</w:t>
      </w:r>
      <w:r w:rsidR="007A221D">
        <w:rPr>
          <w:rFonts w:ascii="宋体" w:hAnsi="宋体" w:hint="eastAsia"/>
          <w:sz w:val="24"/>
          <w:szCs w:val="24"/>
        </w:rPr>
        <w:t>全价</w:t>
      </w:r>
      <w:r w:rsidR="007A221D" w:rsidRPr="00AA54BE">
        <w:rPr>
          <w:rFonts w:ascii="宋体" w:hAnsi="宋体"/>
          <w:sz w:val="24"/>
          <w:szCs w:val="24"/>
        </w:rPr>
        <w:t>或推荐估值</w:t>
      </w:r>
      <w:r w:rsidR="007A221D">
        <w:rPr>
          <w:rFonts w:ascii="宋体" w:hAnsi="宋体" w:hint="eastAsia"/>
          <w:sz w:val="24"/>
          <w:szCs w:val="24"/>
        </w:rPr>
        <w:t>全</w:t>
      </w:r>
      <w:r w:rsidR="007A221D" w:rsidRPr="00AA54BE">
        <w:rPr>
          <w:rFonts w:ascii="宋体" w:hAnsi="宋体"/>
          <w:sz w:val="24"/>
          <w:szCs w:val="24"/>
        </w:rPr>
        <w:t>价进行估值；</w:t>
      </w:r>
    </w:p>
    <w:p w:rsidR="001A060B" w:rsidRPr="00AA54BE" w:rsidRDefault="00974956" w:rsidP="001A060B">
      <w:pPr>
        <w:adjustRightInd w:val="0"/>
        <w:snapToGrid w:val="0"/>
        <w:spacing w:line="360" w:lineRule="auto"/>
        <w:ind w:firstLineChars="200" w:firstLine="480"/>
        <w:rPr>
          <w:rFonts w:ascii="宋体" w:hAnsi="宋体"/>
          <w:sz w:val="24"/>
          <w:szCs w:val="24"/>
        </w:rPr>
      </w:pPr>
      <w:r>
        <w:rPr>
          <w:rFonts w:ascii="宋体" w:hAnsi="宋体" w:hint="eastAsia"/>
          <w:sz w:val="24"/>
          <w:szCs w:val="24"/>
        </w:rPr>
        <w:t>3、</w:t>
      </w:r>
      <w:r w:rsidR="001A060B" w:rsidRPr="00AA54BE">
        <w:rPr>
          <w:rFonts w:ascii="宋体" w:hAnsi="宋体"/>
          <w:sz w:val="24"/>
          <w:szCs w:val="24"/>
        </w:rPr>
        <w:t>对于含投资</w:t>
      </w:r>
      <w:r w:rsidR="001A060B">
        <w:rPr>
          <w:rFonts w:ascii="宋体" w:hAnsi="宋体" w:hint="eastAsia"/>
          <w:sz w:val="24"/>
          <w:szCs w:val="24"/>
        </w:rPr>
        <w:t>者</w:t>
      </w:r>
      <w:r w:rsidR="001A060B" w:rsidRPr="00AA54BE">
        <w:rPr>
          <w:rFonts w:ascii="宋体" w:hAnsi="宋体"/>
          <w:sz w:val="24"/>
          <w:szCs w:val="24"/>
        </w:rPr>
        <w:t>回售权的固定收益品种，</w:t>
      </w:r>
      <w:r w:rsidR="001A060B" w:rsidRPr="00356EC3">
        <w:rPr>
          <w:rFonts w:ascii="宋体" w:hAnsi="宋体" w:hint="eastAsia"/>
          <w:sz w:val="24"/>
          <w:szCs w:val="24"/>
        </w:rPr>
        <w:t>行使回售权的，在回售登记日至实际收款日期间选取第三方估值基准服务机构提供的相应品种的唯一估值全价或推荐估值全价</w:t>
      </w:r>
      <w:r w:rsidR="001A060B">
        <w:rPr>
          <w:rFonts w:ascii="宋体" w:hAnsi="宋体" w:hint="eastAsia"/>
          <w:sz w:val="24"/>
          <w:szCs w:val="24"/>
        </w:rPr>
        <w:t>，</w:t>
      </w:r>
      <w:r w:rsidR="001A060B" w:rsidRPr="006B39BC">
        <w:rPr>
          <w:rFonts w:ascii="宋体" w:hAnsi="宋体" w:hint="eastAsia"/>
          <w:sz w:val="24"/>
          <w:szCs w:val="24"/>
        </w:rPr>
        <w:t>同时应充分考虑发行人的信用风险变化对公允价值的影响。</w:t>
      </w:r>
      <w:r w:rsidR="001A060B" w:rsidRPr="00AA54BE">
        <w:rPr>
          <w:rFonts w:ascii="宋体" w:hAnsi="宋体"/>
          <w:sz w:val="24"/>
          <w:szCs w:val="24"/>
        </w:rPr>
        <w:t>回售登记期截止日（含当日）后未行使回售权的按照长待偿期所对应的价格进行估值</w:t>
      </w:r>
      <w:r w:rsidR="00F21B31">
        <w:rPr>
          <w:rFonts w:ascii="宋体" w:hAnsi="宋体" w:hint="eastAsia"/>
          <w:sz w:val="24"/>
          <w:szCs w:val="24"/>
        </w:rPr>
        <w:t>；</w:t>
      </w:r>
    </w:p>
    <w:p w:rsidR="00A064AC" w:rsidRDefault="00974956" w:rsidP="00D421E0">
      <w:pPr>
        <w:adjustRightInd w:val="0"/>
        <w:snapToGrid w:val="0"/>
        <w:spacing w:line="360" w:lineRule="auto"/>
        <w:ind w:firstLineChars="200" w:firstLine="480"/>
        <w:rPr>
          <w:rFonts w:ascii="宋体" w:hAnsi="宋体"/>
          <w:sz w:val="24"/>
          <w:szCs w:val="24"/>
        </w:rPr>
      </w:pPr>
      <w:r>
        <w:rPr>
          <w:rFonts w:ascii="宋体" w:hAnsi="宋体" w:hint="eastAsia"/>
          <w:sz w:val="24"/>
          <w:szCs w:val="24"/>
        </w:rPr>
        <w:t>4、</w:t>
      </w:r>
      <w:r w:rsidR="001A060B" w:rsidRPr="001A060B">
        <w:rPr>
          <w:rFonts w:ascii="宋体" w:hAnsi="宋体" w:hint="eastAsia"/>
          <w:sz w:val="24"/>
          <w:szCs w:val="24"/>
        </w:rPr>
        <w:t>对于未上市或未挂牌转让且不存在活跃市场的固定收益品种，应采用在当前情况下适用并且有足够可利用数据和其他信息支持的估值技术确定其公允价值</w:t>
      </w:r>
      <w:r>
        <w:rPr>
          <w:rFonts w:ascii="宋体" w:hAnsi="宋体" w:hint="eastAsia"/>
          <w:sz w:val="24"/>
          <w:szCs w:val="24"/>
        </w:rPr>
        <w:t>；</w:t>
      </w:r>
    </w:p>
    <w:p w:rsidR="00974956" w:rsidRDefault="00974956" w:rsidP="00974956">
      <w:pPr>
        <w:adjustRightInd w:val="0"/>
        <w:snapToGrid w:val="0"/>
        <w:spacing w:line="360" w:lineRule="auto"/>
        <w:ind w:firstLineChars="200" w:firstLine="480"/>
        <w:rPr>
          <w:rFonts w:ascii="宋体" w:hAnsi="宋体"/>
          <w:sz w:val="24"/>
          <w:szCs w:val="24"/>
        </w:rPr>
      </w:pPr>
      <w:r>
        <w:rPr>
          <w:rFonts w:ascii="宋体" w:hAnsi="宋体" w:hint="eastAsia"/>
          <w:sz w:val="24"/>
          <w:szCs w:val="24"/>
        </w:rPr>
        <w:t>5、</w:t>
      </w:r>
      <w:r w:rsidRPr="00393313">
        <w:rPr>
          <w:rFonts w:ascii="宋体" w:hAnsi="宋体" w:hint="eastAsia"/>
          <w:sz w:val="24"/>
          <w:szCs w:val="24"/>
        </w:rPr>
        <w:t>对于在交易所市场上市交易的公开发行的可转换债券等有活跃市场的含转股权的债券，实行全价交易的债券选取估值日收盘价作为估值全价；实行净价交易的债券选取估值日收盘价并加计每百元税前应计利息作为估值全价</w:t>
      </w:r>
      <w:r>
        <w:rPr>
          <w:rFonts w:ascii="宋体" w:hAnsi="宋体" w:hint="eastAsia"/>
          <w:sz w:val="24"/>
          <w:szCs w:val="24"/>
        </w:rPr>
        <w:t>；</w:t>
      </w:r>
    </w:p>
    <w:p w:rsidR="00CB42E7" w:rsidRPr="00D421E0" w:rsidRDefault="00113C92" w:rsidP="00CB42E7">
      <w:pPr>
        <w:pStyle w:val="a7"/>
        <w:spacing w:line="360" w:lineRule="auto"/>
        <w:ind w:firstLineChars="200" w:firstLine="480"/>
        <w:rPr>
          <w:rFonts w:hAnsi="宋体" w:cs="Times New Roman"/>
          <w:sz w:val="24"/>
          <w:szCs w:val="24"/>
        </w:rPr>
      </w:pPr>
      <w:r>
        <w:rPr>
          <w:rFonts w:hAnsi="宋体"/>
          <w:sz w:val="24"/>
          <w:szCs w:val="24"/>
        </w:rPr>
        <w:t>6</w:t>
      </w:r>
      <w:r w:rsidR="00FD4450">
        <w:rPr>
          <w:rFonts w:hAnsi="宋体" w:cs="Times New Roman" w:hint="eastAsia"/>
          <w:sz w:val="24"/>
          <w:szCs w:val="24"/>
        </w:rPr>
        <w:t>、</w:t>
      </w:r>
      <w:r w:rsidR="00622494" w:rsidRPr="00D421E0">
        <w:rPr>
          <w:rFonts w:hAnsi="宋体" w:cs="Times New Roman" w:hint="eastAsia"/>
          <w:sz w:val="24"/>
          <w:szCs w:val="24"/>
        </w:rPr>
        <w:t>所投资的</w:t>
      </w:r>
      <w:r w:rsidR="00CB42E7" w:rsidRPr="00D421E0">
        <w:rPr>
          <w:rFonts w:hAnsi="宋体" w:cs="Times New Roman" w:hint="eastAsia"/>
          <w:sz w:val="24"/>
          <w:szCs w:val="24"/>
        </w:rPr>
        <w:t>私募</w:t>
      </w:r>
      <w:r w:rsidR="00FD4450">
        <w:rPr>
          <w:rFonts w:hAnsi="宋体" w:cs="Times New Roman" w:hint="eastAsia"/>
          <w:sz w:val="24"/>
          <w:szCs w:val="24"/>
        </w:rPr>
        <w:t>资产管理</w:t>
      </w:r>
      <w:r w:rsidR="00CB42E7" w:rsidRPr="00D421E0">
        <w:rPr>
          <w:rFonts w:hAnsi="宋体" w:cs="Times New Roman" w:hint="eastAsia"/>
          <w:sz w:val="24"/>
          <w:szCs w:val="24"/>
        </w:rPr>
        <w:t>产品（包括但不限于信托计划、</w:t>
      </w:r>
      <w:r w:rsidR="00FD4450">
        <w:rPr>
          <w:rFonts w:hAnsi="宋体" w:cs="Times New Roman" w:hint="eastAsia"/>
          <w:sz w:val="24"/>
          <w:szCs w:val="24"/>
        </w:rPr>
        <w:t>资产</w:t>
      </w:r>
      <w:r w:rsidR="00FD4450">
        <w:rPr>
          <w:rFonts w:hAnsi="宋体" w:cs="Times New Roman"/>
          <w:sz w:val="24"/>
          <w:szCs w:val="24"/>
        </w:rPr>
        <w:t>管理</w:t>
      </w:r>
      <w:r w:rsidR="00CB42E7" w:rsidRPr="00D421E0">
        <w:rPr>
          <w:rFonts w:hAnsi="宋体" w:cs="Times New Roman" w:hint="eastAsia"/>
          <w:sz w:val="24"/>
          <w:szCs w:val="24"/>
        </w:rPr>
        <w:t>计划、私募基金）按照管理人给出的最近估值日私募</w:t>
      </w:r>
      <w:r w:rsidR="00FD4450">
        <w:rPr>
          <w:rFonts w:hAnsi="宋体" w:cs="Times New Roman" w:hint="eastAsia"/>
          <w:sz w:val="24"/>
          <w:szCs w:val="24"/>
        </w:rPr>
        <w:t>资产管理</w:t>
      </w:r>
      <w:r w:rsidR="00CB42E7" w:rsidRPr="00D421E0">
        <w:rPr>
          <w:rFonts w:hAnsi="宋体" w:cs="Times New Roman" w:hint="eastAsia"/>
          <w:sz w:val="24"/>
          <w:szCs w:val="24"/>
        </w:rPr>
        <w:t>产品净值进行估值</w:t>
      </w:r>
      <w:r w:rsidR="00FD4450">
        <w:rPr>
          <w:rFonts w:hAnsi="宋体" w:cs="Times New Roman" w:hint="eastAsia"/>
          <w:sz w:val="24"/>
          <w:szCs w:val="24"/>
        </w:rPr>
        <w:t>；</w:t>
      </w:r>
    </w:p>
    <w:p w:rsidR="00CB42E7" w:rsidRDefault="00113C92" w:rsidP="00CB42E7">
      <w:pPr>
        <w:pStyle w:val="a7"/>
        <w:spacing w:line="360" w:lineRule="auto"/>
        <w:ind w:firstLineChars="200" w:firstLine="480"/>
        <w:rPr>
          <w:rFonts w:hAnsi="宋体" w:cs="Times New Roman"/>
          <w:sz w:val="24"/>
          <w:szCs w:val="24"/>
        </w:rPr>
      </w:pPr>
      <w:r>
        <w:rPr>
          <w:rFonts w:hAnsi="宋体" w:cs="Times New Roman" w:hint="eastAsia"/>
          <w:sz w:val="24"/>
          <w:szCs w:val="24"/>
        </w:rPr>
        <w:t>7、</w:t>
      </w:r>
      <w:r w:rsidR="00622494" w:rsidRPr="00154C00">
        <w:rPr>
          <w:rFonts w:hAnsi="宋体" w:cs="Times New Roman" w:hint="eastAsia"/>
          <w:sz w:val="24"/>
          <w:szCs w:val="24"/>
        </w:rPr>
        <w:t>所</w:t>
      </w:r>
      <w:r w:rsidR="00FD4450">
        <w:rPr>
          <w:rFonts w:hAnsi="宋体" w:cs="Times New Roman" w:hint="eastAsia"/>
          <w:sz w:val="24"/>
          <w:szCs w:val="24"/>
        </w:rPr>
        <w:t>投资</w:t>
      </w:r>
      <w:r w:rsidR="00FD4450">
        <w:rPr>
          <w:rFonts w:hAnsi="宋体" w:cs="Times New Roman"/>
          <w:sz w:val="24"/>
          <w:szCs w:val="24"/>
        </w:rPr>
        <w:t>的</w:t>
      </w:r>
      <w:r w:rsidR="00CB42E7" w:rsidRPr="00154C00">
        <w:rPr>
          <w:rFonts w:hAnsi="宋体" w:cs="Times New Roman" w:hint="eastAsia"/>
          <w:sz w:val="24"/>
          <w:szCs w:val="24"/>
        </w:rPr>
        <w:t>各类</w:t>
      </w:r>
      <w:r w:rsidR="00CB42E7" w:rsidRPr="00C8315F">
        <w:rPr>
          <w:rFonts w:hAnsi="宋体" w:cs="Times New Roman" w:hint="eastAsia"/>
          <w:sz w:val="24"/>
          <w:szCs w:val="24"/>
        </w:rPr>
        <w:t>非标准化债权、股权等资产</w:t>
      </w:r>
      <w:r w:rsidR="00CB42E7" w:rsidRPr="00D421E0">
        <w:rPr>
          <w:rFonts w:hAnsi="宋体" w:cs="Times New Roman" w:hint="eastAsia"/>
          <w:sz w:val="24"/>
          <w:szCs w:val="24"/>
        </w:rPr>
        <w:t>采用</w:t>
      </w:r>
      <w:bookmarkStart w:id="0" w:name="_Hlk127902781"/>
      <w:r w:rsidR="00CB42E7" w:rsidRPr="00D421E0">
        <w:rPr>
          <w:rFonts w:hAnsi="宋体" w:cs="Times New Roman" w:hint="eastAsia"/>
          <w:sz w:val="24"/>
          <w:szCs w:val="24"/>
        </w:rPr>
        <w:t>在当前情况下适用并且有足够可利用数据和其他信息支持的估值技术确定其公允价值</w:t>
      </w:r>
      <w:bookmarkEnd w:id="0"/>
      <w:r w:rsidR="00781CF1">
        <w:rPr>
          <w:rFonts w:hAnsi="宋体" w:cs="Times New Roman" w:hint="eastAsia"/>
          <w:sz w:val="24"/>
          <w:szCs w:val="24"/>
        </w:rPr>
        <w:t>；</w:t>
      </w:r>
    </w:p>
    <w:p w:rsidR="003C79C1" w:rsidRPr="00154C00" w:rsidRDefault="006B1641" w:rsidP="003C79C1">
      <w:pPr>
        <w:pStyle w:val="a7"/>
        <w:spacing w:line="360" w:lineRule="auto"/>
        <w:ind w:firstLineChars="200" w:firstLine="480"/>
        <w:rPr>
          <w:rFonts w:hAnsi="宋体" w:cs="Times New Roman"/>
          <w:sz w:val="24"/>
          <w:szCs w:val="24"/>
        </w:rPr>
      </w:pPr>
      <w:r>
        <w:rPr>
          <w:rFonts w:hAnsi="宋体" w:cs="Times New Roman"/>
          <w:sz w:val="24"/>
          <w:szCs w:val="24"/>
        </w:rPr>
        <w:t>8</w:t>
      </w:r>
      <w:r w:rsidR="00FD4450">
        <w:rPr>
          <w:rFonts w:hAnsi="宋体" w:cs="Times New Roman" w:hint="eastAsia"/>
          <w:sz w:val="24"/>
          <w:szCs w:val="24"/>
        </w:rPr>
        <w:t>、</w:t>
      </w:r>
      <w:r w:rsidR="003C79C1" w:rsidRPr="00154C00">
        <w:rPr>
          <w:rFonts w:hAnsi="宋体" w:cs="Times New Roman" w:hint="eastAsia"/>
          <w:sz w:val="24"/>
          <w:szCs w:val="24"/>
        </w:rPr>
        <w:t>如有确凿证据表明按上述方法进行估值不能客观反映其公允价值的，</w:t>
      </w:r>
      <w:r w:rsidR="00BB61E3">
        <w:rPr>
          <w:rFonts w:hAnsi="宋体" w:cs="Times New Roman" w:hint="eastAsia"/>
          <w:sz w:val="24"/>
          <w:szCs w:val="24"/>
        </w:rPr>
        <w:t>或未能</w:t>
      </w:r>
      <w:r w:rsidR="00F07D54">
        <w:rPr>
          <w:rFonts w:hAnsi="宋体" w:cs="Times New Roman" w:hint="eastAsia"/>
          <w:sz w:val="24"/>
          <w:szCs w:val="24"/>
        </w:rPr>
        <w:t>及时</w:t>
      </w:r>
      <w:r w:rsidR="00BB61E3">
        <w:rPr>
          <w:rFonts w:hAnsi="宋体" w:cs="Times New Roman" w:hint="eastAsia"/>
          <w:sz w:val="24"/>
          <w:szCs w:val="24"/>
        </w:rPr>
        <w:t>按照相关约定</w:t>
      </w:r>
      <w:r w:rsidR="00F07D54">
        <w:rPr>
          <w:rFonts w:hAnsi="宋体" w:cs="Times New Roman" w:hint="eastAsia"/>
          <w:sz w:val="24"/>
          <w:szCs w:val="24"/>
        </w:rPr>
        <w:t>获得</w:t>
      </w:r>
      <w:r w:rsidR="00BB61E3">
        <w:rPr>
          <w:rFonts w:hAnsi="宋体" w:cs="Times New Roman" w:hint="eastAsia"/>
          <w:sz w:val="24"/>
          <w:szCs w:val="24"/>
        </w:rPr>
        <w:t>产品净值</w:t>
      </w:r>
      <w:r w:rsidR="00F07D54">
        <w:rPr>
          <w:rFonts w:hAnsi="宋体" w:cs="Times New Roman" w:hint="eastAsia"/>
          <w:sz w:val="24"/>
          <w:szCs w:val="24"/>
        </w:rPr>
        <w:t>等</w:t>
      </w:r>
      <w:r w:rsidR="00F07D54">
        <w:rPr>
          <w:rFonts w:hAnsi="宋体" w:cs="Times New Roman"/>
          <w:sz w:val="24"/>
          <w:szCs w:val="24"/>
        </w:rPr>
        <w:t>用于估值的必要</w:t>
      </w:r>
      <w:r w:rsidR="00BB61E3">
        <w:rPr>
          <w:rFonts w:hAnsi="宋体" w:cs="Times New Roman" w:hint="eastAsia"/>
          <w:sz w:val="24"/>
          <w:szCs w:val="24"/>
        </w:rPr>
        <w:t>数据的，</w:t>
      </w:r>
      <w:r w:rsidR="003C79C1" w:rsidRPr="00154C00">
        <w:rPr>
          <w:rFonts w:hAnsi="宋体" w:cs="Times New Roman" w:hint="eastAsia"/>
          <w:sz w:val="24"/>
          <w:szCs w:val="24"/>
        </w:rPr>
        <w:t>公司可根据具体情况与托管人商定后，按最能反映公允价值的价格估值。</w:t>
      </w:r>
    </w:p>
    <w:p w:rsidR="003C79C1" w:rsidRDefault="00113C92" w:rsidP="003C79C1">
      <w:pPr>
        <w:pStyle w:val="a7"/>
        <w:spacing w:line="360" w:lineRule="auto"/>
        <w:ind w:firstLineChars="200" w:firstLine="480"/>
        <w:rPr>
          <w:rFonts w:hAnsi="宋体" w:cs="Times New Roman"/>
          <w:sz w:val="24"/>
          <w:szCs w:val="24"/>
        </w:rPr>
      </w:pPr>
      <w:r>
        <w:rPr>
          <w:rFonts w:hAnsi="宋体" w:cs="Times New Roman" w:hint="eastAsia"/>
          <w:sz w:val="24"/>
          <w:szCs w:val="24"/>
        </w:rPr>
        <w:lastRenderedPageBreak/>
        <w:t>如果</w:t>
      </w:r>
      <w:r w:rsidR="00781CF1">
        <w:rPr>
          <w:rFonts w:hAnsi="宋体" w:cs="Times New Roman" w:hint="eastAsia"/>
          <w:sz w:val="24"/>
          <w:szCs w:val="24"/>
        </w:rPr>
        <w:t>产品</w:t>
      </w:r>
      <w:r>
        <w:rPr>
          <w:rFonts w:hAnsi="宋体" w:cs="Times New Roman"/>
          <w:sz w:val="24"/>
          <w:szCs w:val="24"/>
        </w:rPr>
        <w:t>对应的</w:t>
      </w:r>
      <w:r>
        <w:rPr>
          <w:rFonts w:hAnsi="宋体" w:cs="Times New Roman" w:hint="eastAsia"/>
          <w:sz w:val="24"/>
          <w:szCs w:val="24"/>
        </w:rPr>
        <w:t>资产</w:t>
      </w:r>
      <w:r>
        <w:rPr>
          <w:rFonts w:hAnsi="宋体" w:cs="Times New Roman"/>
          <w:sz w:val="24"/>
          <w:szCs w:val="24"/>
        </w:rPr>
        <w:t>管理合同</w:t>
      </w:r>
      <w:r>
        <w:rPr>
          <w:rFonts w:hAnsi="宋体" w:cs="Times New Roman" w:hint="eastAsia"/>
          <w:sz w:val="24"/>
          <w:szCs w:val="24"/>
        </w:rPr>
        <w:t>及其</w:t>
      </w:r>
      <w:r>
        <w:rPr>
          <w:rFonts w:hAnsi="宋体" w:cs="Times New Roman"/>
          <w:sz w:val="24"/>
          <w:szCs w:val="24"/>
        </w:rPr>
        <w:t>补充协议</w:t>
      </w:r>
      <w:r>
        <w:rPr>
          <w:rFonts w:hAnsi="宋体" w:cs="Times New Roman" w:hint="eastAsia"/>
          <w:sz w:val="24"/>
          <w:szCs w:val="24"/>
        </w:rPr>
        <w:t>约定</w:t>
      </w:r>
      <w:r w:rsidR="00F31091">
        <w:rPr>
          <w:rFonts w:hAnsi="宋体" w:cs="Times New Roman" w:hint="eastAsia"/>
          <w:sz w:val="24"/>
          <w:szCs w:val="24"/>
        </w:rPr>
        <w:t>的特定类别</w:t>
      </w:r>
      <w:r>
        <w:rPr>
          <w:rFonts w:hAnsi="宋体" w:cs="Times New Roman"/>
          <w:sz w:val="24"/>
          <w:szCs w:val="24"/>
        </w:rPr>
        <w:t>资产</w:t>
      </w:r>
      <w:r w:rsidR="00F31091">
        <w:rPr>
          <w:rFonts w:hAnsi="宋体" w:cs="Times New Roman" w:hint="eastAsia"/>
          <w:sz w:val="24"/>
          <w:szCs w:val="24"/>
        </w:rPr>
        <w:t>的估值方式与本公告的内容不一致的</w:t>
      </w:r>
      <w:r>
        <w:rPr>
          <w:rFonts w:hAnsi="宋体" w:cs="Times New Roman"/>
          <w:sz w:val="24"/>
          <w:szCs w:val="24"/>
        </w:rPr>
        <w:t>，</w:t>
      </w:r>
      <w:r w:rsidR="00DE6B17">
        <w:rPr>
          <w:rFonts w:hAnsi="宋体" w:cs="Times New Roman" w:hint="eastAsia"/>
          <w:sz w:val="24"/>
          <w:szCs w:val="24"/>
        </w:rPr>
        <w:t>则该类别资产的估值方式</w:t>
      </w:r>
      <w:r w:rsidR="00F31091">
        <w:rPr>
          <w:rFonts w:hAnsi="宋体" w:cs="Times New Roman" w:hint="eastAsia"/>
          <w:sz w:val="24"/>
          <w:szCs w:val="24"/>
        </w:rPr>
        <w:t>以本公告的内容为准。</w:t>
      </w:r>
      <w:r w:rsidR="00DE6B17">
        <w:rPr>
          <w:rFonts w:hAnsi="宋体" w:cs="Times New Roman" w:hint="eastAsia"/>
          <w:sz w:val="24"/>
          <w:szCs w:val="24"/>
        </w:rPr>
        <w:t>投资范围未</w:t>
      </w:r>
      <w:r w:rsidR="00F36324">
        <w:rPr>
          <w:rFonts w:hAnsi="宋体" w:cs="Times New Roman" w:hint="eastAsia"/>
          <w:sz w:val="24"/>
          <w:szCs w:val="24"/>
        </w:rPr>
        <w:t>涉及的</w:t>
      </w:r>
      <w:r w:rsidR="00DE6B17">
        <w:rPr>
          <w:rFonts w:hAnsi="宋体" w:cs="Times New Roman" w:hint="eastAsia"/>
          <w:sz w:val="24"/>
          <w:szCs w:val="24"/>
        </w:rPr>
        <w:t>资产类别，</w:t>
      </w:r>
      <w:r w:rsidR="00F36324">
        <w:rPr>
          <w:rFonts w:hAnsi="宋体" w:cs="Times New Roman" w:hint="eastAsia"/>
          <w:sz w:val="24"/>
          <w:szCs w:val="24"/>
        </w:rPr>
        <w:t>不进行调整。</w:t>
      </w:r>
    </w:p>
    <w:p w:rsidR="00D761BD" w:rsidRDefault="00D761BD" w:rsidP="003C79C1">
      <w:pPr>
        <w:pStyle w:val="a7"/>
        <w:spacing w:line="360" w:lineRule="auto"/>
        <w:ind w:firstLineChars="200" w:firstLine="480"/>
        <w:rPr>
          <w:rFonts w:hAnsi="宋体" w:cs="Times New Roman"/>
          <w:sz w:val="24"/>
          <w:szCs w:val="24"/>
        </w:rPr>
      </w:pPr>
      <w:r>
        <w:rPr>
          <w:rFonts w:hAnsi="宋体" w:cs="Times New Roman" w:hint="eastAsia"/>
          <w:sz w:val="24"/>
          <w:szCs w:val="24"/>
        </w:rPr>
        <w:t>请知悉！</w:t>
      </w:r>
    </w:p>
    <w:p w:rsidR="00D761BD" w:rsidRDefault="00D761BD" w:rsidP="003C79C1">
      <w:pPr>
        <w:pStyle w:val="a7"/>
        <w:spacing w:line="360" w:lineRule="auto"/>
        <w:ind w:firstLineChars="200" w:firstLine="480"/>
        <w:rPr>
          <w:rFonts w:hAnsi="宋体" w:cs="Times New Roman"/>
          <w:sz w:val="24"/>
          <w:szCs w:val="24"/>
        </w:rPr>
      </w:pPr>
    </w:p>
    <w:p w:rsidR="00D761BD" w:rsidRDefault="00D761BD" w:rsidP="00F879CF">
      <w:pPr>
        <w:pStyle w:val="a7"/>
        <w:spacing w:line="360" w:lineRule="auto"/>
        <w:jc w:val="right"/>
        <w:rPr>
          <w:rFonts w:hAnsi="宋体" w:cs="Times New Roman"/>
          <w:sz w:val="24"/>
          <w:szCs w:val="24"/>
        </w:rPr>
      </w:pPr>
      <w:r>
        <w:rPr>
          <w:rFonts w:hAnsi="宋体" w:cs="Times New Roman" w:hint="eastAsia"/>
          <w:sz w:val="24"/>
          <w:szCs w:val="24"/>
        </w:rPr>
        <w:t>鑫沅资产管理有限公司</w:t>
      </w:r>
    </w:p>
    <w:p w:rsidR="00D761BD" w:rsidRDefault="006E4C24" w:rsidP="00862DCC">
      <w:pPr>
        <w:pStyle w:val="a7"/>
        <w:wordWrap w:val="0"/>
        <w:spacing w:line="360" w:lineRule="auto"/>
        <w:ind w:right="240"/>
        <w:jc w:val="right"/>
        <w:rPr>
          <w:rFonts w:hAnsi="宋体" w:cs="Times New Roman"/>
          <w:sz w:val="24"/>
          <w:szCs w:val="24"/>
        </w:rPr>
      </w:pPr>
      <w:r>
        <w:rPr>
          <w:rFonts w:hAnsi="宋体" w:cs="Times New Roman" w:hint="eastAsia"/>
          <w:sz w:val="24"/>
          <w:szCs w:val="24"/>
        </w:rPr>
        <w:t>2</w:t>
      </w:r>
      <w:r>
        <w:rPr>
          <w:rFonts w:hAnsi="宋体" w:cs="Times New Roman"/>
          <w:sz w:val="24"/>
          <w:szCs w:val="24"/>
        </w:rPr>
        <w:t>023</w:t>
      </w:r>
      <w:r>
        <w:rPr>
          <w:rFonts w:hAnsi="宋体" w:cs="Times New Roman" w:hint="eastAsia"/>
          <w:sz w:val="24"/>
          <w:szCs w:val="24"/>
        </w:rPr>
        <w:t>年3月</w:t>
      </w:r>
      <w:bookmarkStart w:id="1" w:name="_GoBack"/>
      <w:bookmarkEnd w:id="1"/>
      <w:r w:rsidR="006F5DA6">
        <w:rPr>
          <w:rFonts w:hAnsi="宋体" w:cs="Times New Roman"/>
          <w:sz w:val="24"/>
          <w:szCs w:val="24"/>
        </w:rPr>
        <w:t>24</w:t>
      </w:r>
      <w:r>
        <w:rPr>
          <w:rFonts w:hAnsi="宋体" w:cs="Times New Roman" w:hint="eastAsia"/>
          <w:sz w:val="24"/>
          <w:szCs w:val="24"/>
        </w:rPr>
        <w:t>日</w:t>
      </w:r>
    </w:p>
    <w:p w:rsidR="00D761BD" w:rsidRDefault="00D761BD" w:rsidP="003C79C1">
      <w:pPr>
        <w:pStyle w:val="a7"/>
        <w:spacing w:line="360" w:lineRule="auto"/>
        <w:ind w:firstLineChars="200" w:firstLine="480"/>
        <w:rPr>
          <w:rFonts w:hAnsi="宋体" w:cs="Times New Roman"/>
          <w:sz w:val="24"/>
          <w:szCs w:val="24"/>
        </w:rPr>
      </w:pPr>
    </w:p>
    <w:p w:rsidR="00C9340A" w:rsidRPr="00154C00" w:rsidRDefault="00C9340A" w:rsidP="003C79C1">
      <w:pPr>
        <w:pStyle w:val="a7"/>
        <w:spacing w:line="360" w:lineRule="auto"/>
        <w:ind w:firstLineChars="200" w:firstLine="480"/>
        <w:rPr>
          <w:rFonts w:hAnsi="宋体" w:cs="Times New Roman"/>
          <w:sz w:val="24"/>
          <w:szCs w:val="24"/>
        </w:rPr>
      </w:pPr>
    </w:p>
    <w:p w:rsidR="00CB42E7" w:rsidRPr="00D421E0" w:rsidRDefault="00CB42E7" w:rsidP="00CB42E7">
      <w:pPr>
        <w:rPr>
          <w:rFonts w:ascii="宋体" w:hAnsi="宋体"/>
          <w:sz w:val="24"/>
          <w:szCs w:val="24"/>
        </w:rPr>
      </w:pPr>
    </w:p>
    <w:sectPr w:rsidR="00CB42E7" w:rsidRPr="00D421E0" w:rsidSect="00732F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1EDB" w:rsidRDefault="00181EDB" w:rsidP="00CB42E7">
      <w:r>
        <w:separator/>
      </w:r>
    </w:p>
  </w:endnote>
  <w:endnote w:type="continuationSeparator" w:id="0">
    <w:p w:rsidR="00181EDB" w:rsidRDefault="00181EDB" w:rsidP="00CB42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1EDB" w:rsidRDefault="00181EDB" w:rsidP="00CB42E7">
      <w:r>
        <w:separator/>
      </w:r>
    </w:p>
  </w:footnote>
  <w:footnote w:type="continuationSeparator" w:id="0">
    <w:p w:rsidR="00181EDB" w:rsidRDefault="00181EDB" w:rsidP="00CB42E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5742DD"/>
    <w:multiLevelType w:val="hybridMultilevel"/>
    <w:tmpl w:val="711CC1C2"/>
    <w:lvl w:ilvl="0" w:tplc="F880DAC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6EEE79C6"/>
    <w:multiLevelType w:val="hybridMultilevel"/>
    <w:tmpl w:val="C27CA316"/>
    <w:lvl w:ilvl="0" w:tplc="11CE57CC">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
    <w:nsid w:val="76B83BE1"/>
    <w:multiLevelType w:val="hybridMultilevel"/>
    <w:tmpl w:val="2E3E63CA"/>
    <w:lvl w:ilvl="0" w:tplc="DDF8F330">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7A221D"/>
    <w:rsid w:val="000B39ED"/>
    <w:rsid w:val="001072ED"/>
    <w:rsid w:val="00113C92"/>
    <w:rsid w:val="001238B6"/>
    <w:rsid w:val="00181EDB"/>
    <w:rsid w:val="001A060B"/>
    <w:rsid w:val="001B3927"/>
    <w:rsid w:val="001C28D1"/>
    <w:rsid w:val="00285742"/>
    <w:rsid w:val="00293A54"/>
    <w:rsid w:val="002A444F"/>
    <w:rsid w:val="002E7D97"/>
    <w:rsid w:val="00310783"/>
    <w:rsid w:val="00344113"/>
    <w:rsid w:val="00356EC3"/>
    <w:rsid w:val="00361075"/>
    <w:rsid w:val="00363F99"/>
    <w:rsid w:val="00385291"/>
    <w:rsid w:val="00393313"/>
    <w:rsid w:val="003C79C1"/>
    <w:rsid w:val="003E0D43"/>
    <w:rsid w:val="004112D8"/>
    <w:rsid w:val="00423707"/>
    <w:rsid w:val="00461A24"/>
    <w:rsid w:val="00506126"/>
    <w:rsid w:val="00543D79"/>
    <w:rsid w:val="00571F88"/>
    <w:rsid w:val="005E00B6"/>
    <w:rsid w:val="005F33BC"/>
    <w:rsid w:val="00603A0D"/>
    <w:rsid w:val="00622494"/>
    <w:rsid w:val="006B1641"/>
    <w:rsid w:val="006B39BC"/>
    <w:rsid w:val="006D4BE1"/>
    <w:rsid w:val="006E4C24"/>
    <w:rsid w:val="006F2852"/>
    <w:rsid w:val="006F5DA6"/>
    <w:rsid w:val="00732FD8"/>
    <w:rsid w:val="00781CF1"/>
    <w:rsid w:val="007979B7"/>
    <w:rsid w:val="007A221D"/>
    <w:rsid w:val="00833A52"/>
    <w:rsid w:val="00862DCC"/>
    <w:rsid w:val="008707F5"/>
    <w:rsid w:val="0094744F"/>
    <w:rsid w:val="00974956"/>
    <w:rsid w:val="009A489A"/>
    <w:rsid w:val="009E68C3"/>
    <w:rsid w:val="00A064AC"/>
    <w:rsid w:val="00A16E9E"/>
    <w:rsid w:val="00A36A3A"/>
    <w:rsid w:val="00A4392E"/>
    <w:rsid w:val="00A512C6"/>
    <w:rsid w:val="00A67C54"/>
    <w:rsid w:val="00B07DC3"/>
    <w:rsid w:val="00B10996"/>
    <w:rsid w:val="00B56562"/>
    <w:rsid w:val="00B7348A"/>
    <w:rsid w:val="00B87BB2"/>
    <w:rsid w:val="00B9237F"/>
    <w:rsid w:val="00BB61E3"/>
    <w:rsid w:val="00BF7073"/>
    <w:rsid w:val="00C11F97"/>
    <w:rsid w:val="00C27E1C"/>
    <w:rsid w:val="00C5313E"/>
    <w:rsid w:val="00C556F7"/>
    <w:rsid w:val="00C80AD5"/>
    <w:rsid w:val="00C8315F"/>
    <w:rsid w:val="00C9340A"/>
    <w:rsid w:val="00CB42E7"/>
    <w:rsid w:val="00CD2C5D"/>
    <w:rsid w:val="00CD6444"/>
    <w:rsid w:val="00CF1B28"/>
    <w:rsid w:val="00D421E0"/>
    <w:rsid w:val="00D5102A"/>
    <w:rsid w:val="00D534F2"/>
    <w:rsid w:val="00D71A2D"/>
    <w:rsid w:val="00D761BD"/>
    <w:rsid w:val="00D8549B"/>
    <w:rsid w:val="00DE6B17"/>
    <w:rsid w:val="00DF32CA"/>
    <w:rsid w:val="00E376D5"/>
    <w:rsid w:val="00E62F7C"/>
    <w:rsid w:val="00F07D54"/>
    <w:rsid w:val="00F12789"/>
    <w:rsid w:val="00F21B31"/>
    <w:rsid w:val="00F31091"/>
    <w:rsid w:val="00F36324"/>
    <w:rsid w:val="00F36B85"/>
    <w:rsid w:val="00F5372F"/>
    <w:rsid w:val="00F87845"/>
    <w:rsid w:val="00F879CF"/>
    <w:rsid w:val="00FD44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707AFA1-AE05-4C66-8CA6-E426A32A4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A221D"/>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356EC3"/>
    <w:rPr>
      <w:sz w:val="18"/>
      <w:szCs w:val="18"/>
    </w:rPr>
  </w:style>
  <w:style w:type="character" w:customStyle="1" w:styleId="Char">
    <w:name w:val="批注框文本 Char"/>
    <w:basedOn w:val="a0"/>
    <w:link w:val="a3"/>
    <w:uiPriority w:val="99"/>
    <w:semiHidden/>
    <w:rsid w:val="00356EC3"/>
    <w:rPr>
      <w:rFonts w:ascii="Calibri" w:eastAsia="宋体" w:hAnsi="Calibri" w:cs="Times New Roman"/>
      <w:sz w:val="18"/>
      <w:szCs w:val="18"/>
    </w:rPr>
  </w:style>
  <w:style w:type="paragraph" w:styleId="a4">
    <w:name w:val="Revision"/>
    <w:hidden/>
    <w:uiPriority w:val="99"/>
    <w:semiHidden/>
    <w:rsid w:val="00CB42E7"/>
    <w:rPr>
      <w:rFonts w:ascii="Calibri" w:eastAsia="宋体" w:hAnsi="Calibri" w:cs="Times New Roman"/>
    </w:rPr>
  </w:style>
  <w:style w:type="paragraph" w:styleId="a5">
    <w:name w:val="header"/>
    <w:basedOn w:val="a"/>
    <w:link w:val="Char0"/>
    <w:uiPriority w:val="99"/>
    <w:unhideWhenUsed/>
    <w:rsid w:val="00CB42E7"/>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rsid w:val="00CB42E7"/>
    <w:rPr>
      <w:rFonts w:ascii="Calibri" w:eastAsia="宋体" w:hAnsi="Calibri" w:cs="Times New Roman"/>
      <w:sz w:val="18"/>
      <w:szCs w:val="18"/>
    </w:rPr>
  </w:style>
  <w:style w:type="paragraph" w:styleId="a6">
    <w:name w:val="footer"/>
    <w:basedOn w:val="a"/>
    <w:link w:val="Char1"/>
    <w:uiPriority w:val="99"/>
    <w:unhideWhenUsed/>
    <w:rsid w:val="00CB42E7"/>
    <w:pPr>
      <w:tabs>
        <w:tab w:val="center" w:pos="4153"/>
        <w:tab w:val="right" w:pos="8306"/>
      </w:tabs>
      <w:snapToGrid w:val="0"/>
      <w:jc w:val="left"/>
    </w:pPr>
    <w:rPr>
      <w:sz w:val="18"/>
      <w:szCs w:val="18"/>
    </w:rPr>
  </w:style>
  <w:style w:type="character" w:customStyle="1" w:styleId="Char1">
    <w:name w:val="页脚 Char"/>
    <w:basedOn w:val="a0"/>
    <w:link w:val="a6"/>
    <w:uiPriority w:val="99"/>
    <w:rsid w:val="00CB42E7"/>
    <w:rPr>
      <w:rFonts w:ascii="Calibri" w:eastAsia="宋体" w:hAnsi="Calibri" w:cs="Times New Roman"/>
      <w:sz w:val="18"/>
      <w:szCs w:val="18"/>
    </w:rPr>
  </w:style>
  <w:style w:type="paragraph" w:styleId="a7">
    <w:name w:val="Plain Text"/>
    <w:basedOn w:val="a"/>
    <w:link w:val="Char2"/>
    <w:rsid w:val="00CB42E7"/>
    <w:rPr>
      <w:rFonts w:ascii="宋体" w:hAnsi="Courier New" w:cs="Courier New"/>
      <w:szCs w:val="21"/>
    </w:rPr>
  </w:style>
  <w:style w:type="character" w:customStyle="1" w:styleId="Char2">
    <w:name w:val="纯文本 Char"/>
    <w:basedOn w:val="a0"/>
    <w:link w:val="a7"/>
    <w:rsid w:val="00CB42E7"/>
    <w:rPr>
      <w:rFonts w:ascii="宋体" w:eastAsia="宋体" w:hAnsi="Courier New" w:cs="Courier New"/>
      <w:szCs w:val="21"/>
    </w:rPr>
  </w:style>
  <w:style w:type="paragraph" w:styleId="a8">
    <w:name w:val="List Paragraph"/>
    <w:basedOn w:val="a"/>
    <w:uiPriority w:val="34"/>
    <w:qFormat/>
    <w:rsid w:val="006B1641"/>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F0DEC0-3E7B-4573-81F2-908C1AEE1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2</Pages>
  <Words>138</Words>
  <Characters>792</Characters>
  <Application>Microsoft Office Word</Application>
  <DocSecurity>0</DocSecurity>
  <Lines>6</Lines>
  <Paragraphs>1</Paragraphs>
  <ScaleCrop>false</ScaleCrop>
  <Company/>
  <LinksUpToDate>false</LinksUpToDate>
  <CharactersWithSpaces>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陈欢欢</dc:creator>
  <cp:keywords/>
  <dc:description/>
  <cp:lastModifiedBy>吴瑞晨</cp:lastModifiedBy>
  <cp:revision>12</cp:revision>
  <dcterms:created xsi:type="dcterms:W3CDTF">2023-03-10T07:46:00Z</dcterms:created>
  <dcterms:modified xsi:type="dcterms:W3CDTF">2023-03-24T07:00:00Z</dcterms:modified>
</cp:coreProperties>
</file>